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00" w:rsidRPr="00D00400" w:rsidRDefault="00D00400" w:rsidP="00D00400">
      <w:pPr>
        <w:spacing w:before="480" w:after="240" w:line="240" w:lineRule="auto"/>
        <w:jc w:val="both"/>
        <w:rPr>
          <w:rFonts w:ascii="Times New Roman" w:eastAsia="Calibri" w:hAnsi="Times New Roman" w:cs="Times New Roman"/>
          <w:sz w:val="24"/>
          <w:szCs w:val="24"/>
        </w:rPr>
      </w:pPr>
      <w:r w:rsidRPr="00D00400">
        <w:rPr>
          <w:rFonts w:ascii="Times New Roman" w:eastAsia="Calibri" w:hAnsi="Times New Roman" w:cs="Times New Roman"/>
          <w:sz w:val="24"/>
          <w:szCs w:val="24"/>
        </w:rPr>
        <w:t>УДК 634.8:037</w:t>
      </w:r>
    </w:p>
    <w:p w:rsidR="00D00400" w:rsidRPr="00D00400" w:rsidRDefault="00D00400" w:rsidP="00D00400">
      <w:pPr>
        <w:spacing w:after="0" w:line="240" w:lineRule="auto"/>
        <w:jc w:val="center"/>
        <w:rPr>
          <w:rFonts w:ascii="Times New Roman" w:eastAsia="Calibri" w:hAnsi="Times New Roman" w:cs="Times New Roman"/>
          <w:b/>
          <w:sz w:val="28"/>
          <w:szCs w:val="28"/>
        </w:rPr>
      </w:pPr>
      <w:r w:rsidRPr="00D00400">
        <w:rPr>
          <w:rFonts w:ascii="Times New Roman" w:eastAsia="Calibri" w:hAnsi="Times New Roman" w:cs="Times New Roman"/>
          <w:b/>
          <w:sz w:val="28"/>
          <w:szCs w:val="28"/>
        </w:rPr>
        <w:t xml:space="preserve">ИСПОЛЬЗОВАНИЕ УДОБРЕНИЯ АЛЬБИТ ПРИ ПРОИЗВОДСТВЕ </w:t>
      </w:r>
    </w:p>
    <w:p w:rsidR="00D00400" w:rsidRPr="00D00400" w:rsidRDefault="00D00400" w:rsidP="00D00400">
      <w:pPr>
        <w:spacing w:after="0" w:line="240" w:lineRule="auto"/>
        <w:jc w:val="center"/>
        <w:rPr>
          <w:rFonts w:ascii="Times New Roman" w:eastAsia="Calibri" w:hAnsi="Times New Roman" w:cs="Times New Roman"/>
          <w:b/>
          <w:sz w:val="28"/>
          <w:szCs w:val="28"/>
          <w:lang w:val="en-US"/>
        </w:rPr>
      </w:pPr>
      <w:r w:rsidRPr="00D00400">
        <w:rPr>
          <w:rFonts w:ascii="Times New Roman" w:eastAsia="Calibri" w:hAnsi="Times New Roman" w:cs="Times New Roman"/>
          <w:b/>
          <w:sz w:val="28"/>
          <w:szCs w:val="28"/>
        </w:rPr>
        <w:t>ПРИВИТЫХ</w:t>
      </w:r>
      <w:r w:rsidRPr="00D00400">
        <w:rPr>
          <w:rFonts w:ascii="Times New Roman" w:eastAsia="Calibri" w:hAnsi="Times New Roman" w:cs="Times New Roman"/>
          <w:b/>
          <w:sz w:val="28"/>
          <w:szCs w:val="28"/>
          <w:lang w:val="en-US"/>
        </w:rPr>
        <w:t xml:space="preserve"> </w:t>
      </w:r>
      <w:r w:rsidRPr="00D00400">
        <w:rPr>
          <w:rFonts w:ascii="Times New Roman" w:eastAsia="Calibri" w:hAnsi="Times New Roman" w:cs="Times New Roman"/>
          <w:b/>
          <w:sz w:val="28"/>
          <w:szCs w:val="28"/>
        </w:rPr>
        <w:t>САЖЕНЦЕВ</w:t>
      </w:r>
      <w:r w:rsidRPr="00D00400">
        <w:rPr>
          <w:rFonts w:ascii="Times New Roman" w:eastAsia="Calibri" w:hAnsi="Times New Roman" w:cs="Times New Roman"/>
          <w:b/>
          <w:sz w:val="28"/>
          <w:szCs w:val="28"/>
          <w:lang w:val="en-US"/>
        </w:rPr>
        <w:t xml:space="preserve"> </w:t>
      </w:r>
      <w:r w:rsidRPr="00D00400">
        <w:rPr>
          <w:rFonts w:ascii="Times New Roman" w:eastAsia="Calibri" w:hAnsi="Times New Roman" w:cs="Times New Roman"/>
          <w:b/>
          <w:sz w:val="28"/>
          <w:szCs w:val="28"/>
        </w:rPr>
        <w:t>ВИНОГРАДА</w:t>
      </w:r>
    </w:p>
    <w:p w:rsidR="00D00400" w:rsidRPr="00D00400" w:rsidRDefault="00D00400" w:rsidP="00D00400">
      <w:pPr>
        <w:spacing w:after="0" w:line="240" w:lineRule="auto"/>
        <w:jc w:val="center"/>
        <w:rPr>
          <w:rFonts w:ascii="Times New Roman" w:eastAsia="Calibri" w:hAnsi="Times New Roman" w:cs="Times New Roman"/>
          <w:b/>
          <w:sz w:val="28"/>
          <w:szCs w:val="28"/>
          <w:lang w:val="en-US"/>
        </w:rPr>
      </w:pPr>
    </w:p>
    <w:p w:rsidR="00D00400" w:rsidRPr="00D00400" w:rsidRDefault="00D00400" w:rsidP="00D00400">
      <w:pPr>
        <w:spacing w:after="0" w:line="240" w:lineRule="auto"/>
        <w:jc w:val="center"/>
        <w:rPr>
          <w:rFonts w:ascii="Times New Roman" w:eastAsia="Calibri" w:hAnsi="Times New Roman" w:cs="Times New Roman"/>
          <w:b/>
          <w:sz w:val="28"/>
          <w:szCs w:val="28"/>
          <w:lang w:val="en-US"/>
        </w:rPr>
      </w:pPr>
      <w:r w:rsidRPr="00D00400">
        <w:rPr>
          <w:rFonts w:ascii="Times New Roman" w:eastAsia="Calibri" w:hAnsi="Times New Roman" w:cs="Times New Roman"/>
          <w:b/>
          <w:sz w:val="28"/>
          <w:szCs w:val="28"/>
          <w:lang w:val="en-US"/>
        </w:rPr>
        <w:t>THE USE OF FERTILIZER ALBIT IN THE PRODUCTION OF GRAFTED GRAPE SEEDLINGS</w:t>
      </w:r>
    </w:p>
    <w:p w:rsidR="00D00400" w:rsidRPr="00D00400" w:rsidRDefault="00D00400" w:rsidP="00D00400">
      <w:pPr>
        <w:spacing w:after="0" w:line="240" w:lineRule="auto"/>
        <w:jc w:val="center"/>
        <w:rPr>
          <w:rFonts w:ascii="Times New Roman" w:eastAsia="Calibri" w:hAnsi="Times New Roman" w:cs="Times New Roman"/>
          <w:b/>
          <w:sz w:val="28"/>
          <w:szCs w:val="28"/>
          <w:lang w:val="en-US"/>
        </w:rPr>
      </w:pPr>
    </w:p>
    <w:tbl>
      <w:tblPr>
        <w:tblW w:w="0" w:type="auto"/>
        <w:tblLook w:val="04A0" w:firstRow="1" w:lastRow="0" w:firstColumn="1" w:lastColumn="0" w:noHBand="0" w:noVBand="1"/>
      </w:tblPr>
      <w:tblGrid>
        <w:gridCol w:w="4683"/>
        <w:gridCol w:w="4672"/>
      </w:tblGrid>
      <w:tr w:rsidR="00D00400" w:rsidRPr="00D00400" w:rsidTr="00D539E6">
        <w:trPr>
          <w:trHeight w:val="407"/>
        </w:trPr>
        <w:tc>
          <w:tcPr>
            <w:tcW w:w="4927" w:type="dxa"/>
            <w:shd w:val="clear" w:color="auto" w:fill="auto"/>
          </w:tcPr>
          <w:p w:rsidR="00D00400" w:rsidRPr="00D00400" w:rsidRDefault="00D00400" w:rsidP="00D00400">
            <w:pPr>
              <w:spacing w:after="0" w:line="240" w:lineRule="auto"/>
              <w:rPr>
                <w:rFonts w:ascii="Times New Roman" w:eastAsia="Calibri" w:hAnsi="Times New Roman" w:cs="Times New Roman"/>
                <w:i/>
                <w:sz w:val="28"/>
                <w:szCs w:val="28"/>
              </w:rPr>
            </w:pPr>
            <w:r w:rsidRPr="00D00400">
              <w:rPr>
                <w:rFonts w:ascii="Times New Roman" w:eastAsia="Calibri" w:hAnsi="Times New Roman" w:cs="Times New Roman"/>
                <w:i/>
                <w:sz w:val="24"/>
                <w:szCs w:val="24"/>
              </w:rPr>
              <w:t>Л.А. Титова</w:t>
            </w:r>
          </w:p>
        </w:tc>
        <w:tc>
          <w:tcPr>
            <w:tcW w:w="4927" w:type="dxa"/>
            <w:shd w:val="clear" w:color="auto" w:fill="auto"/>
          </w:tcPr>
          <w:p w:rsidR="00D00400" w:rsidRPr="00D00400" w:rsidRDefault="00D00400" w:rsidP="00D00400">
            <w:pPr>
              <w:spacing w:after="0" w:line="240" w:lineRule="auto"/>
              <w:rPr>
                <w:rFonts w:ascii="Times New Roman" w:eastAsia="Calibri" w:hAnsi="Times New Roman" w:cs="Times New Roman"/>
                <w:i/>
                <w:sz w:val="24"/>
                <w:szCs w:val="24"/>
                <w:lang w:val="en-US"/>
              </w:rPr>
            </w:pPr>
            <w:r w:rsidRPr="00D00400">
              <w:rPr>
                <w:rFonts w:ascii="Times New Roman" w:eastAsia="Calibri" w:hAnsi="Times New Roman" w:cs="Times New Roman"/>
                <w:i/>
                <w:sz w:val="24"/>
                <w:szCs w:val="24"/>
                <w:lang w:val="en-US"/>
              </w:rPr>
              <w:t xml:space="preserve">L.A. </w:t>
            </w:r>
            <w:proofErr w:type="spellStart"/>
            <w:r w:rsidRPr="00D00400">
              <w:rPr>
                <w:rFonts w:ascii="Times New Roman" w:eastAsia="Calibri" w:hAnsi="Times New Roman" w:cs="Times New Roman"/>
                <w:i/>
                <w:sz w:val="24"/>
                <w:szCs w:val="24"/>
                <w:lang w:val="en-US"/>
              </w:rPr>
              <w:t>Titova</w:t>
            </w:r>
            <w:proofErr w:type="spellEnd"/>
          </w:p>
          <w:p w:rsidR="00D00400" w:rsidRPr="00D00400" w:rsidRDefault="00D00400" w:rsidP="00D00400">
            <w:pPr>
              <w:spacing w:after="0" w:line="240" w:lineRule="auto"/>
              <w:rPr>
                <w:rFonts w:ascii="Times New Roman" w:eastAsia="Calibri" w:hAnsi="Times New Roman" w:cs="Times New Roman"/>
                <w:i/>
                <w:sz w:val="28"/>
                <w:szCs w:val="28"/>
                <w:lang w:val="en-US"/>
              </w:rPr>
            </w:pPr>
          </w:p>
        </w:tc>
      </w:tr>
      <w:tr w:rsidR="00D00400" w:rsidRPr="00D00400" w:rsidTr="00D539E6">
        <w:tc>
          <w:tcPr>
            <w:tcW w:w="4927" w:type="dxa"/>
            <w:shd w:val="clear" w:color="auto" w:fill="auto"/>
          </w:tcPr>
          <w:p w:rsidR="00D00400" w:rsidRPr="00D00400" w:rsidRDefault="00D00400" w:rsidP="00D00400">
            <w:pPr>
              <w:spacing w:after="0" w:line="240" w:lineRule="auto"/>
              <w:rPr>
                <w:rFonts w:ascii="Times New Roman" w:eastAsia="Calibri" w:hAnsi="Times New Roman" w:cs="Times New Roman"/>
                <w:sz w:val="24"/>
                <w:szCs w:val="24"/>
              </w:rPr>
            </w:pPr>
            <w:r w:rsidRPr="00D00400">
              <w:rPr>
                <w:rFonts w:ascii="Times New Roman" w:eastAsia="Calibri" w:hAnsi="Times New Roman" w:cs="Times New Roman"/>
                <w:sz w:val="24"/>
                <w:szCs w:val="24"/>
              </w:rPr>
              <w:t xml:space="preserve">ФГБНУ Всероссийский </w:t>
            </w:r>
          </w:p>
          <w:p w:rsidR="00D00400" w:rsidRPr="00D00400" w:rsidRDefault="00D00400" w:rsidP="00D00400">
            <w:pPr>
              <w:spacing w:after="0" w:line="240" w:lineRule="auto"/>
              <w:rPr>
                <w:rFonts w:ascii="Times New Roman" w:eastAsia="Calibri" w:hAnsi="Times New Roman" w:cs="Times New Roman"/>
                <w:sz w:val="24"/>
                <w:szCs w:val="24"/>
              </w:rPr>
            </w:pPr>
            <w:r w:rsidRPr="00D00400">
              <w:rPr>
                <w:rFonts w:ascii="Times New Roman" w:eastAsia="Calibri" w:hAnsi="Times New Roman" w:cs="Times New Roman"/>
                <w:sz w:val="24"/>
                <w:szCs w:val="24"/>
              </w:rPr>
              <w:t>научно-исследовательский институт</w:t>
            </w:r>
          </w:p>
          <w:p w:rsidR="00D00400" w:rsidRPr="00D00400" w:rsidRDefault="00D00400" w:rsidP="00D00400">
            <w:pPr>
              <w:spacing w:after="0" w:line="240" w:lineRule="auto"/>
              <w:rPr>
                <w:rFonts w:ascii="Times New Roman" w:eastAsia="Calibri" w:hAnsi="Times New Roman" w:cs="Times New Roman"/>
                <w:sz w:val="24"/>
                <w:szCs w:val="24"/>
              </w:rPr>
            </w:pPr>
            <w:r w:rsidRPr="00D00400">
              <w:rPr>
                <w:rFonts w:ascii="Times New Roman" w:eastAsia="Calibri" w:hAnsi="Times New Roman" w:cs="Times New Roman"/>
                <w:sz w:val="24"/>
                <w:szCs w:val="24"/>
              </w:rPr>
              <w:t xml:space="preserve"> виноградарства и виноделия </w:t>
            </w:r>
          </w:p>
          <w:p w:rsidR="00D00400" w:rsidRPr="00D00400" w:rsidRDefault="00D00400" w:rsidP="00D00400">
            <w:pPr>
              <w:spacing w:after="0" w:line="240" w:lineRule="auto"/>
              <w:rPr>
                <w:rFonts w:ascii="Times New Roman" w:eastAsia="Calibri" w:hAnsi="Times New Roman" w:cs="Times New Roman"/>
                <w:sz w:val="24"/>
                <w:szCs w:val="24"/>
              </w:rPr>
            </w:pPr>
            <w:r w:rsidRPr="00D00400">
              <w:rPr>
                <w:rFonts w:ascii="Times New Roman" w:eastAsia="Calibri" w:hAnsi="Times New Roman" w:cs="Times New Roman"/>
                <w:sz w:val="24"/>
                <w:szCs w:val="24"/>
              </w:rPr>
              <w:t xml:space="preserve">имени Я. И. Потапенко, г. Новочеркасск, Россия, </w:t>
            </w:r>
            <w:r w:rsidRPr="00D00400">
              <w:rPr>
                <w:rFonts w:ascii="Times New Roman" w:eastAsia="Calibri" w:hAnsi="Times New Roman" w:cs="Times New Roman"/>
                <w:sz w:val="24"/>
                <w:szCs w:val="24"/>
                <w:lang w:val="en-US"/>
              </w:rPr>
              <w:t>e</w:t>
            </w:r>
            <w:r w:rsidRPr="00D00400">
              <w:rPr>
                <w:rFonts w:ascii="Times New Roman" w:eastAsia="Calibri" w:hAnsi="Times New Roman" w:cs="Times New Roman"/>
                <w:sz w:val="24"/>
                <w:szCs w:val="24"/>
              </w:rPr>
              <w:t>-</w:t>
            </w:r>
            <w:r w:rsidRPr="00D00400">
              <w:rPr>
                <w:rFonts w:ascii="Times New Roman" w:eastAsia="Calibri" w:hAnsi="Times New Roman" w:cs="Times New Roman"/>
                <w:sz w:val="24"/>
                <w:szCs w:val="24"/>
                <w:lang w:val="en-US"/>
              </w:rPr>
              <w:t>mail</w:t>
            </w:r>
            <w:r w:rsidRPr="00D00400">
              <w:rPr>
                <w:rFonts w:ascii="Times New Roman" w:eastAsia="Calibri" w:hAnsi="Times New Roman" w:cs="Times New Roman"/>
                <w:sz w:val="24"/>
                <w:szCs w:val="24"/>
              </w:rPr>
              <w:t xml:space="preserve">: </w:t>
            </w:r>
            <w:hyperlink r:id="rId5" w:history="1">
              <w:r w:rsidRPr="00D00400">
                <w:rPr>
                  <w:rFonts w:ascii="Times New Roman" w:eastAsia="Calibri" w:hAnsi="Times New Roman" w:cs="Times New Roman"/>
                  <w:sz w:val="24"/>
                  <w:szCs w:val="24"/>
                  <w:lang w:val="en-US"/>
                </w:rPr>
                <w:t>ruswine</w:t>
              </w:r>
              <w:r w:rsidRPr="00D00400">
                <w:rPr>
                  <w:rFonts w:ascii="Times New Roman" w:eastAsia="Calibri" w:hAnsi="Times New Roman" w:cs="Times New Roman"/>
                  <w:sz w:val="24"/>
                  <w:szCs w:val="24"/>
                </w:rPr>
                <w:t>@</w:t>
              </w:r>
              <w:r w:rsidRPr="00D00400">
                <w:rPr>
                  <w:rFonts w:ascii="Times New Roman" w:eastAsia="Calibri" w:hAnsi="Times New Roman" w:cs="Times New Roman"/>
                  <w:sz w:val="24"/>
                  <w:szCs w:val="24"/>
                  <w:lang w:val="en-US"/>
                </w:rPr>
                <w:t>yandex</w:t>
              </w:r>
              <w:r w:rsidRPr="00D00400">
                <w:rPr>
                  <w:rFonts w:ascii="Times New Roman" w:eastAsia="Calibri" w:hAnsi="Times New Roman" w:cs="Times New Roman"/>
                  <w:sz w:val="24"/>
                  <w:szCs w:val="24"/>
                </w:rPr>
                <w:t>.</w:t>
              </w:r>
              <w:proofErr w:type="spellStart"/>
              <w:r w:rsidRPr="00D00400">
                <w:rPr>
                  <w:rFonts w:ascii="Times New Roman" w:eastAsia="Calibri" w:hAnsi="Times New Roman" w:cs="Times New Roman"/>
                  <w:sz w:val="24"/>
                  <w:szCs w:val="24"/>
                  <w:lang w:val="en-US"/>
                </w:rPr>
                <w:t>ru</w:t>
              </w:r>
              <w:proofErr w:type="spellEnd"/>
            </w:hyperlink>
          </w:p>
          <w:p w:rsidR="00D00400" w:rsidRPr="00D00400" w:rsidRDefault="00D00400" w:rsidP="00D00400">
            <w:pPr>
              <w:spacing w:after="0" w:line="240" w:lineRule="auto"/>
              <w:rPr>
                <w:rFonts w:ascii="Times New Roman" w:eastAsia="Calibri" w:hAnsi="Times New Roman" w:cs="Times New Roman"/>
                <w:i/>
                <w:sz w:val="24"/>
                <w:szCs w:val="24"/>
              </w:rPr>
            </w:pPr>
          </w:p>
        </w:tc>
        <w:tc>
          <w:tcPr>
            <w:tcW w:w="4927" w:type="dxa"/>
            <w:shd w:val="clear" w:color="auto" w:fill="auto"/>
          </w:tcPr>
          <w:p w:rsidR="00D00400" w:rsidRPr="00D00400" w:rsidRDefault="00D00400" w:rsidP="00D00400">
            <w:pPr>
              <w:spacing w:after="0" w:line="240" w:lineRule="auto"/>
              <w:rPr>
                <w:rFonts w:ascii="Times New Roman" w:eastAsia="Calibri" w:hAnsi="Times New Roman" w:cs="Times New Roman"/>
                <w:sz w:val="24"/>
                <w:szCs w:val="24"/>
                <w:lang w:val="en-US"/>
              </w:rPr>
            </w:pPr>
            <w:r w:rsidRPr="00D00400">
              <w:rPr>
                <w:rFonts w:ascii="Times New Roman" w:eastAsia="Calibri" w:hAnsi="Times New Roman" w:cs="Times New Roman"/>
                <w:sz w:val="24"/>
                <w:szCs w:val="24"/>
                <w:lang w:val="en-US"/>
              </w:rPr>
              <w:t xml:space="preserve">All-Russian research Y. I. </w:t>
            </w:r>
            <w:proofErr w:type="spellStart"/>
            <w:r w:rsidRPr="00D00400">
              <w:rPr>
                <w:rFonts w:ascii="Times New Roman" w:eastAsia="Calibri" w:hAnsi="Times New Roman" w:cs="Times New Roman"/>
                <w:sz w:val="24"/>
                <w:szCs w:val="24"/>
                <w:lang w:val="en-US"/>
              </w:rPr>
              <w:t>Potapenko</w:t>
            </w:r>
            <w:proofErr w:type="spellEnd"/>
            <w:r w:rsidRPr="00D00400">
              <w:rPr>
                <w:rFonts w:ascii="Times New Roman" w:eastAsia="Calibri" w:hAnsi="Times New Roman" w:cs="Times New Roman"/>
                <w:sz w:val="24"/>
                <w:szCs w:val="24"/>
                <w:lang w:val="en-US"/>
              </w:rPr>
              <w:t xml:space="preserve"> </w:t>
            </w:r>
          </w:p>
          <w:p w:rsidR="00D00400" w:rsidRPr="00D00400" w:rsidRDefault="00D00400" w:rsidP="00D00400">
            <w:pPr>
              <w:spacing w:after="0" w:line="240" w:lineRule="auto"/>
              <w:rPr>
                <w:rFonts w:ascii="Times New Roman" w:eastAsia="Calibri" w:hAnsi="Times New Roman" w:cs="Times New Roman"/>
                <w:sz w:val="24"/>
                <w:szCs w:val="24"/>
                <w:lang w:val="en-US"/>
              </w:rPr>
            </w:pPr>
            <w:r w:rsidRPr="00D00400">
              <w:rPr>
                <w:rFonts w:ascii="Times New Roman" w:eastAsia="Calibri" w:hAnsi="Times New Roman" w:cs="Times New Roman"/>
                <w:sz w:val="24"/>
                <w:szCs w:val="24"/>
                <w:lang w:val="en-US"/>
              </w:rPr>
              <w:t xml:space="preserve">Institute for viticulture and winemaking </w:t>
            </w:r>
          </w:p>
          <w:p w:rsidR="00D00400" w:rsidRPr="00D00400" w:rsidRDefault="00D00400" w:rsidP="00D00400">
            <w:pPr>
              <w:spacing w:after="0" w:line="240" w:lineRule="auto"/>
              <w:rPr>
                <w:rFonts w:ascii="Times New Roman" w:eastAsia="Calibri" w:hAnsi="Times New Roman" w:cs="Times New Roman"/>
                <w:sz w:val="24"/>
                <w:szCs w:val="24"/>
                <w:lang w:val="en-US"/>
              </w:rPr>
            </w:pPr>
            <w:r w:rsidRPr="00D00400">
              <w:rPr>
                <w:rFonts w:ascii="Times New Roman" w:eastAsia="Calibri" w:hAnsi="Times New Roman" w:cs="Times New Roman"/>
                <w:sz w:val="24"/>
                <w:szCs w:val="24"/>
                <w:lang w:val="en-US"/>
              </w:rPr>
              <w:t>Novocherkassk, Russia</w:t>
            </w:r>
          </w:p>
          <w:p w:rsidR="00D00400" w:rsidRPr="00D00400" w:rsidRDefault="00D00400" w:rsidP="00D00400">
            <w:pPr>
              <w:spacing w:after="0" w:line="240" w:lineRule="auto"/>
              <w:rPr>
                <w:rFonts w:ascii="Times New Roman" w:eastAsia="Calibri" w:hAnsi="Times New Roman" w:cs="Times New Roman"/>
                <w:sz w:val="24"/>
                <w:szCs w:val="24"/>
                <w:lang w:val="en-US"/>
              </w:rPr>
            </w:pPr>
            <w:r w:rsidRPr="00D00400">
              <w:rPr>
                <w:rFonts w:ascii="Times New Roman" w:eastAsia="Calibri" w:hAnsi="Times New Roman" w:cs="Times New Roman"/>
                <w:sz w:val="24"/>
                <w:szCs w:val="24"/>
                <w:lang w:val="en-US"/>
              </w:rPr>
              <w:t xml:space="preserve">e-mail: </w:t>
            </w:r>
            <w:hyperlink r:id="rId6" w:history="1">
              <w:r w:rsidRPr="00D00400">
                <w:rPr>
                  <w:rFonts w:ascii="Times New Roman" w:eastAsia="Calibri" w:hAnsi="Times New Roman" w:cs="Times New Roman"/>
                  <w:sz w:val="24"/>
                  <w:szCs w:val="24"/>
                  <w:lang w:val="en-US"/>
                </w:rPr>
                <w:t>ruswine@yandex.ru</w:t>
              </w:r>
            </w:hyperlink>
          </w:p>
          <w:p w:rsidR="00D00400" w:rsidRPr="00D00400" w:rsidRDefault="00D00400" w:rsidP="00D00400">
            <w:pPr>
              <w:spacing w:after="0" w:line="240" w:lineRule="auto"/>
              <w:rPr>
                <w:rFonts w:ascii="Times New Roman" w:eastAsia="Calibri" w:hAnsi="Times New Roman" w:cs="Times New Roman"/>
                <w:i/>
                <w:sz w:val="24"/>
                <w:szCs w:val="24"/>
                <w:lang w:val="en-US"/>
              </w:rPr>
            </w:pPr>
          </w:p>
        </w:tc>
      </w:tr>
      <w:tr w:rsidR="00D00400" w:rsidRPr="00D00400" w:rsidTr="00D539E6">
        <w:tc>
          <w:tcPr>
            <w:tcW w:w="4927" w:type="dxa"/>
            <w:shd w:val="clear" w:color="auto" w:fill="auto"/>
          </w:tcPr>
          <w:p w:rsidR="00D00400" w:rsidRPr="00D00400" w:rsidRDefault="00D00400" w:rsidP="00D00400">
            <w:pPr>
              <w:spacing w:after="0" w:line="240" w:lineRule="auto"/>
              <w:jc w:val="both"/>
              <w:rPr>
                <w:rFonts w:ascii="Times New Roman" w:eastAsia="Calibri" w:hAnsi="Times New Roman" w:cs="Times New Roman"/>
                <w:sz w:val="24"/>
                <w:szCs w:val="24"/>
              </w:rPr>
            </w:pPr>
            <w:r w:rsidRPr="00D00400">
              <w:rPr>
                <w:rFonts w:ascii="Times New Roman" w:eastAsia="Calibri" w:hAnsi="Times New Roman" w:cs="Times New Roman"/>
                <w:b/>
                <w:sz w:val="24"/>
                <w:szCs w:val="24"/>
              </w:rPr>
              <w:t>Аннотация.</w:t>
            </w:r>
            <w:r w:rsidRPr="00D00400">
              <w:rPr>
                <w:rFonts w:ascii="Times New Roman" w:eastAsia="Calibri" w:hAnsi="Times New Roman" w:cs="Times New Roman"/>
                <w:sz w:val="24"/>
                <w:szCs w:val="24"/>
              </w:rPr>
              <w:t xml:space="preserve"> Приведены результаты исследований по изучению действия удобрения Альбит различных концентраций, на привитые саженцы винограда в </w:t>
            </w:r>
            <w:proofErr w:type="spellStart"/>
            <w:r w:rsidRPr="00D00400">
              <w:rPr>
                <w:rFonts w:ascii="Times New Roman" w:eastAsia="Calibri" w:hAnsi="Times New Roman" w:cs="Times New Roman"/>
                <w:sz w:val="24"/>
                <w:szCs w:val="24"/>
              </w:rPr>
              <w:t>стратификационной</w:t>
            </w:r>
            <w:proofErr w:type="spellEnd"/>
            <w:r w:rsidRPr="00D00400">
              <w:rPr>
                <w:rFonts w:ascii="Times New Roman" w:eastAsia="Calibri" w:hAnsi="Times New Roman" w:cs="Times New Roman"/>
                <w:sz w:val="24"/>
                <w:szCs w:val="24"/>
              </w:rPr>
              <w:t xml:space="preserve"> камере и школке. Установлено, что внекорневые подкормки удобрением Альбит стимулируют процессы роста и развития привитых саженцев, увеличение концентрации препарата приводит к увеличению эффективности использования данного препарата. </w:t>
            </w:r>
          </w:p>
          <w:p w:rsidR="00D00400" w:rsidRPr="00D00400" w:rsidRDefault="00D00400" w:rsidP="00D00400">
            <w:pPr>
              <w:spacing w:after="0" w:line="240" w:lineRule="auto"/>
              <w:rPr>
                <w:rFonts w:ascii="Times New Roman" w:eastAsia="Calibri" w:hAnsi="Times New Roman" w:cs="Times New Roman"/>
                <w:sz w:val="24"/>
                <w:szCs w:val="24"/>
              </w:rPr>
            </w:pPr>
          </w:p>
        </w:tc>
        <w:tc>
          <w:tcPr>
            <w:tcW w:w="4927" w:type="dxa"/>
            <w:shd w:val="clear" w:color="auto" w:fill="auto"/>
          </w:tcPr>
          <w:p w:rsidR="00D00400" w:rsidRPr="00D00400" w:rsidRDefault="00D00400" w:rsidP="00D00400">
            <w:pPr>
              <w:spacing w:after="0" w:line="240" w:lineRule="auto"/>
              <w:jc w:val="both"/>
              <w:rPr>
                <w:rFonts w:ascii="Times New Roman" w:eastAsia="Calibri" w:hAnsi="Times New Roman" w:cs="Times New Roman"/>
                <w:sz w:val="24"/>
                <w:szCs w:val="24"/>
                <w:lang w:val="en-US"/>
              </w:rPr>
            </w:pPr>
            <w:r w:rsidRPr="00D00400">
              <w:rPr>
                <w:rFonts w:ascii="Times New Roman" w:eastAsia="Calibri" w:hAnsi="Times New Roman" w:cs="Times New Roman"/>
                <w:b/>
                <w:sz w:val="24"/>
                <w:szCs w:val="24"/>
                <w:lang w:val="en-US"/>
              </w:rPr>
              <w:t>Summary.</w:t>
            </w:r>
            <w:r w:rsidRPr="00D00400">
              <w:rPr>
                <w:rFonts w:ascii="Times New Roman" w:eastAsia="Calibri" w:hAnsi="Times New Roman" w:cs="Times New Roman"/>
                <w:sz w:val="24"/>
                <w:szCs w:val="24"/>
                <w:lang w:val="en-US"/>
              </w:rPr>
              <w:t xml:space="preserve"> Paper presents the studies of the effects of fertilizer </w:t>
            </w:r>
            <w:proofErr w:type="spellStart"/>
            <w:r w:rsidRPr="00D00400">
              <w:rPr>
                <w:rFonts w:ascii="Times New Roman" w:eastAsia="Calibri" w:hAnsi="Times New Roman" w:cs="Times New Roman"/>
                <w:sz w:val="24"/>
                <w:szCs w:val="24"/>
                <w:lang w:val="en-US"/>
              </w:rPr>
              <w:t>Albit</w:t>
            </w:r>
            <w:proofErr w:type="spellEnd"/>
            <w:r w:rsidRPr="00D00400">
              <w:rPr>
                <w:rFonts w:ascii="Times New Roman" w:eastAsia="Calibri" w:hAnsi="Times New Roman" w:cs="Times New Roman"/>
                <w:sz w:val="24"/>
                <w:szCs w:val="24"/>
                <w:lang w:val="en-US"/>
              </w:rPr>
              <w:t xml:space="preserve"> in different concentrations on grafted grape seedlings in stratification camera and in nursery. It </w:t>
            </w:r>
            <w:proofErr w:type="gramStart"/>
            <w:r w:rsidRPr="00D00400">
              <w:rPr>
                <w:rFonts w:ascii="Times New Roman" w:eastAsia="Calibri" w:hAnsi="Times New Roman" w:cs="Times New Roman"/>
                <w:sz w:val="24"/>
                <w:szCs w:val="24"/>
                <w:lang w:val="en-US"/>
              </w:rPr>
              <w:t>is established</w:t>
            </w:r>
            <w:proofErr w:type="gramEnd"/>
            <w:r w:rsidRPr="00D00400">
              <w:rPr>
                <w:rFonts w:ascii="Times New Roman" w:eastAsia="Calibri" w:hAnsi="Times New Roman" w:cs="Times New Roman"/>
                <w:sz w:val="24"/>
                <w:szCs w:val="24"/>
                <w:lang w:val="en-US"/>
              </w:rPr>
              <w:t xml:space="preserve"> that foliar feeding fertilizer </w:t>
            </w:r>
            <w:proofErr w:type="spellStart"/>
            <w:r w:rsidRPr="00D00400">
              <w:rPr>
                <w:rFonts w:ascii="Times New Roman" w:eastAsia="Calibri" w:hAnsi="Times New Roman" w:cs="Times New Roman"/>
                <w:sz w:val="24"/>
                <w:szCs w:val="24"/>
                <w:lang w:val="en-US"/>
              </w:rPr>
              <w:t>Albit</w:t>
            </w:r>
            <w:proofErr w:type="spellEnd"/>
            <w:r w:rsidRPr="00D00400">
              <w:rPr>
                <w:rFonts w:ascii="Times New Roman" w:eastAsia="Calibri" w:hAnsi="Times New Roman" w:cs="Times New Roman"/>
                <w:sz w:val="24"/>
                <w:szCs w:val="24"/>
                <w:lang w:val="en-US"/>
              </w:rPr>
              <w:t xml:space="preserve"> stimulate the processes of growth and development of grafted seedlings. The increase in the drug concentration leads to increase of efficiency. </w:t>
            </w:r>
          </w:p>
          <w:p w:rsidR="00D00400" w:rsidRPr="00D00400" w:rsidRDefault="00D00400" w:rsidP="00D00400">
            <w:pPr>
              <w:spacing w:after="0" w:line="240" w:lineRule="auto"/>
              <w:rPr>
                <w:rFonts w:ascii="Times New Roman" w:eastAsia="Calibri" w:hAnsi="Times New Roman" w:cs="Times New Roman"/>
                <w:sz w:val="24"/>
                <w:szCs w:val="24"/>
                <w:lang w:val="en-US"/>
              </w:rPr>
            </w:pPr>
          </w:p>
        </w:tc>
      </w:tr>
      <w:tr w:rsidR="00D00400" w:rsidRPr="00D00400" w:rsidTr="00D539E6">
        <w:tc>
          <w:tcPr>
            <w:tcW w:w="4927" w:type="dxa"/>
            <w:shd w:val="clear" w:color="auto" w:fill="auto"/>
          </w:tcPr>
          <w:p w:rsidR="00D00400" w:rsidRPr="00D00400" w:rsidRDefault="00D00400" w:rsidP="00D00400">
            <w:pPr>
              <w:spacing w:after="0" w:line="240" w:lineRule="auto"/>
              <w:jc w:val="both"/>
              <w:rPr>
                <w:rFonts w:ascii="Times New Roman" w:eastAsia="Calibri" w:hAnsi="Times New Roman" w:cs="Times New Roman"/>
                <w:sz w:val="24"/>
                <w:szCs w:val="24"/>
              </w:rPr>
            </w:pPr>
            <w:r w:rsidRPr="00D00400">
              <w:rPr>
                <w:rFonts w:ascii="Times New Roman" w:eastAsia="Calibri" w:hAnsi="Times New Roman" w:cs="Times New Roman"/>
                <w:b/>
                <w:sz w:val="24"/>
                <w:szCs w:val="24"/>
              </w:rPr>
              <w:t>Ключевые слова:</w:t>
            </w:r>
            <w:r w:rsidRPr="00D00400">
              <w:rPr>
                <w:rFonts w:ascii="Times New Roman" w:eastAsia="Calibri" w:hAnsi="Times New Roman" w:cs="Times New Roman"/>
                <w:sz w:val="24"/>
                <w:szCs w:val="24"/>
              </w:rPr>
              <w:t xml:space="preserve"> виноград, привитые черенки, стратификация, удобрения, школка, саженцы винограда.</w:t>
            </w:r>
          </w:p>
        </w:tc>
        <w:tc>
          <w:tcPr>
            <w:tcW w:w="4927" w:type="dxa"/>
            <w:shd w:val="clear" w:color="auto" w:fill="auto"/>
          </w:tcPr>
          <w:p w:rsidR="00D00400" w:rsidRPr="00D00400" w:rsidRDefault="00D00400" w:rsidP="00D00400">
            <w:pPr>
              <w:spacing w:after="0" w:line="240" w:lineRule="auto"/>
              <w:jc w:val="both"/>
              <w:rPr>
                <w:rFonts w:ascii="Times New Roman" w:eastAsia="Calibri" w:hAnsi="Times New Roman" w:cs="Times New Roman"/>
                <w:sz w:val="24"/>
                <w:szCs w:val="24"/>
                <w:lang w:val="en-US"/>
              </w:rPr>
            </w:pPr>
            <w:r w:rsidRPr="00D00400">
              <w:rPr>
                <w:rFonts w:ascii="Times New Roman" w:eastAsia="Calibri" w:hAnsi="Times New Roman" w:cs="Times New Roman"/>
                <w:b/>
                <w:sz w:val="24"/>
                <w:szCs w:val="24"/>
                <w:lang w:val="en-US"/>
              </w:rPr>
              <w:t>Keywords:</w:t>
            </w:r>
            <w:r w:rsidRPr="00D00400">
              <w:rPr>
                <w:rFonts w:ascii="Times New Roman" w:eastAsia="Calibri" w:hAnsi="Times New Roman" w:cs="Times New Roman"/>
                <w:sz w:val="24"/>
                <w:szCs w:val="24"/>
                <w:lang w:val="en-US"/>
              </w:rPr>
              <w:t xml:space="preserve"> grapes, grafted cuttings, stratification, fertilizers, new seedlings of grapes.</w:t>
            </w:r>
          </w:p>
          <w:p w:rsidR="00D00400" w:rsidRPr="00D00400" w:rsidRDefault="00D00400" w:rsidP="00D00400">
            <w:pPr>
              <w:spacing w:after="0" w:line="240" w:lineRule="auto"/>
              <w:jc w:val="both"/>
              <w:rPr>
                <w:rFonts w:ascii="Times New Roman" w:eastAsia="Calibri" w:hAnsi="Times New Roman" w:cs="Times New Roman"/>
                <w:b/>
                <w:sz w:val="24"/>
                <w:szCs w:val="24"/>
                <w:lang w:val="en-US"/>
              </w:rPr>
            </w:pPr>
          </w:p>
        </w:tc>
      </w:tr>
    </w:tbl>
    <w:p w:rsidR="00D00400" w:rsidRPr="00D00400" w:rsidRDefault="00D00400" w:rsidP="00D00400">
      <w:pPr>
        <w:spacing w:before="240" w:after="0" w:line="240" w:lineRule="auto"/>
        <w:ind w:firstLine="709"/>
        <w:jc w:val="both"/>
        <w:rPr>
          <w:rFonts w:ascii="Times New Roman" w:eastAsia="Times New Roman" w:hAnsi="Times New Roman" w:cs="Times New Roman"/>
          <w:sz w:val="30"/>
          <w:szCs w:val="30"/>
          <w:lang w:eastAsia="ru-RU"/>
        </w:rPr>
      </w:pPr>
      <w:r w:rsidRPr="00D00400">
        <w:rPr>
          <w:rFonts w:ascii="Times New Roman" w:eastAsia="Times New Roman" w:hAnsi="Times New Roman" w:cs="Times New Roman"/>
          <w:b/>
          <w:sz w:val="30"/>
          <w:szCs w:val="30"/>
          <w:lang w:eastAsia="ru-RU"/>
        </w:rPr>
        <w:t xml:space="preserve">Введение. </w:t>
      </w:r>
      <w:r w:rsidRPr="00D00400">
        <w:rPr>
          <w:rFonts w:ascii="Times New Roman" w:eastAsia="Times New Roman" w:hAnsi="Times New Roman" w:cs="Times New Roman"/>
          <w:sz w:val="30"/>
          <w:szCs w:val="30"/>
          <w:lang w:eastAsia="ru-RU"/>
        </w:rPr>
        <w:t xml:space="preserve">Одним из резервов повышения приживаемости винограда, наряду с использованием современных средств защиты растений, являются внекорневые подкормки макро и микроэлементами, которые способствуют контролируемому питанию растений и значительному снижению </w:t>
      </w:r>
      <w:proofErr w:type="spellStart"/>
      <w:r w:rsidRPr="00D00400">
        <w:rPr>
          <w:rFonts w:ascii="Times New Roman" w:eastAsia="Times New Roman" w:hAnsi="Times New Roman" w:cs="Times New Roman"/>
          <w:sz w:val="30"/>
          <w:szCs w:val="30"/>
          <w:lang w:eastAsia="ru-RU"/>
        </w:rPr>
        <w:t>пестицидной</w:t>
      </w:r>
      <w:proofErr w:type="spellEnd"/>
      <w:r w:rsidRPr="00D00400">
        <w:rPr>
          <w:rFonts w:ascii="Times New Roman" w:eastAsia="Times New Roman" w:hAnsi="Times New Roman" w:cs="Times New Roman"/>
          <w:sz w:val="30"/>
          <w:szCs w:val="30"/>
          <w:lang w:eastAsia="ru-RU"/>
        </w:rPr>
        <w:t xml:space="preserve"> нагрузки на защищаемые культуры при увеличении продуктивности растений. Виноградные насаждения при этом обеспечиваются путем быстрого внесения необходимым количеством микроэлементов в критические периоды их развития. </w:t>
      </w:r>
    </w:p>
    <w:p w:rsidR="00D00400" w:rsidRPr="00D00400" w:rsidRDefault="00D00400" w:rsidP="00D00400">
      <w:pPr>
        <w:spacing w:after="0" w:line="240" w:lineRule="auto"/>
        <w:ind w:firstLine="709"/>
        <w:jc w:val="both"/>
        <w:outlineLvl w:val="1"/>
        <w:rPr>
          <w:rFonts w:ascii="Times New Roman" w:eastAsia="Calibri" w:hAnsi="Times New Roman" w:cs="Times New Roman"/>
          <w:bCs/>
          <w:sz w:val="30"/>
          <w:szCs w:val="30"/>
        </w:rPr>
      </w:pPr>
      <w:r w:rsidRPr="00D00400">
        <w:rPr>
          <w:rFonts w:ascii="Times New Roman" w:eastAsia="Calibri" w:hAnsi="Times New Roman" w:cs="Times New Roman"/>
          <w:bCs/>
          <w:sz w:val="30"/>
          <w:szCs w:val="30"/>
        </w:rPr>
        <w:t xml:space="preserve">При внекорневой подкормке растений микроэлементы усваиваются приблизительно на 80–90 %, тогда как при корневой – лишь на 20–30 %. При внесении микроудобрений по вегетирующим растениям </w:t>
      </w:r>
      <w:r w:rsidRPr="00D00400">
        <w:rPr>
          <w:rFonts w:ascii="Times New Roman" w:eastAsia="Calibri" w:hAnsi="Times New Roman" w:cs="Times New Roman"/>
          <w:bCs/>
          <w:sz w:val="30"/>
          <w:szCs w:val="30"/>
        </w:rPr>
        <w:lastRenderedPageBreak/>
        <w:t xml:space="preserve">микроэлементы, попадая на поверхность листа, проникают в его ткани и включаются в биохимические реакции обмена в растении </w:t>
      </w:r>
      <w:r w:rsidRPr="00D00400">
        <w:rPr>
          <w:rFonts w:ascii="Times New Roman" w:eastAsia="Calibri" w:hAnsi="Times New Roman" w:cs="Times New Roman"/>
          <w:sz w:val="30"/>
          <w:szCs w:val="30"/>
        </w:rPr>
        <w:t>[1].</w:t>
      </w:r>
    </w:p>
    <w:p w:rsidR="00D00400" w:rsidRPr="00D00400" w:rsidRDefault="00D00400" w:rsidP="00D00400">
      <w:pPr>
        <w:spacing w:after="0" w:line="240" w:lineRule="auto"/>
        <w:ind w:firstLine="709"/>
        <w:jc w:val="both"/>
        <w:rPr>
          <w:rFonts w:ascii="Times New Roman" w:eastAsia="Calibri" w:hAnsi="Times New Roman" w:cs="Times New Roman"/>
          <w:bCs/>
          <w:sz w:val="30"/>
          <w:szCs w:val="30"/>
        </w:rPr>
      </w:pPr>
      <w:r w:rsidRPr="00D00400">
        <w:rPr>
          <w:rFonts w:ascii="Times New Roman" w:eastAsia="Calibri" w:hAnsi="Times New Roman" w:cs="Times New Roman"/>
          <w:bCs/>
          <w:sz w:val="30"/>
          <w:szCs w:val="30"/>
        </w:rPr>
        <w:t xml:space="preserve">Микроэлементы нужны растению на протяжении всего периода вегетации. Особенно необходим магний, медь, молибден, марганец, цинк, бор. Недостаток микроэлементов вызывает нарушение азотного и углеродного обмена </w:t>
      </w:r>
      <w:r w:rsidRPr="00D00400">
        <w:rPr>
          <w:rFonts w:ascii="Times New Roman" w:eastAsia="Calibri" w:hAnsi="Times New Roman" w:cs="Times New Roman"/>
          <w:sz w:val="30"/>
          <w:szCs w:val="30"/>
        </w:rPr>
        <w:t>[2].</w:t>
      </w:r>
      <w:r w:rsidRPr="00D00400">
        <w:rPr>
          <w:rFonts w:ascii="Times New Roman" w:eastAsia="Calibri" w:hAnsi="Times New Roman" w:cs="Times New Roman"/>
          <w:bCs/>
          <w:sz w:val="30"/>
          <w:szCs w:val="30"/>
        </w:rPr>
        <w:t xml:space="preserve"> Использование комплексных минеральных удобрений заслуживает особое внимание при вегетативном размножении, так изучаемый нами препарат Альбит </w:t>
      </w:r>
      <w:r w:rsidRPr="00D00400">
        <w:rPr>
          <w:rFonts w:ascii="Times New Roman" w:eastAsia="Calibri" w:hAnsi="Times New Roman" w:cs="Times New Roman"/>
          <w:sz w:val="30"/>
          <w:szCs w:val="30"/>
        </w:rPr>
        <w:t>обеспечивает на винограде:</w:t>
      </w:r>
    </w:p>
    <w:p w:rsidR="00D00400" w:rsidRPr="00D00400" w:rsidRDefault="00D00400" w:rsidP="00D00400">
      <w:pPr>
        <w:widowControl w:val="0"/>
        <w:numPr>
          <w:ilvl w:val="0"/>
          <w:numId w:val="2"/>
        </w:numPr>
        <w:autoSpaceDE w:val="0"/>
        <w:autoSpaceDN w:val="0"/>
        <w:adjustRightInd w:val="0"/>
        <w:spacing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увеличение годичного прироста побегов;</w:t>
      </w:r>
    </w:p>
    <w:p w:rsidR="00D00400" w:rsidRPr="00D00400" w:rsidRDefault="00D00400" w:rsidP="00D00400">
      <w:pPr>
        <w:widowControl w:val="0"/>
        <w:numPr>
          <w:ilvl w:val="0"/>
          <w:numId w:val="2"/>
        </w:numPr>
        <w:autoSpaceDE w:val="0"/>
        <w:autoSpaceDN w:val="0"/>
        <w:adjustRightInd w:val="0"/>
        <w:spacing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повышение процента вызревания;</w:t>
      </w:r>
    </w:p>
    <w:p w:rsidR="00D00400" w:rsidRPr="00D00400" w:rsidRDefault="00D00400" w:rsidP="00D00400">
      <w:pPr>
        <w:widowControl w:val="0"/>
        <w:numPr>
          <w:ilvl w:val="0"/>
          <w:numId w:val="2"/>
        </w:numPr>
        <w:autoSpaceDE w:val="0"/>
        <w:autoSpaceDN w:val="0"/>
        <w:adjustRightInd w:val="0"/>
        <w:spacing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снижение пораженности милдью и оидиумом.</w:t>
      </w:r>
    </w:p>
    <w:p w:rsidR="00D00400" w:rsidRPr="00D00400" w:rsidRDefault="00D00400" w:rsidP="00D00400">
      <w:pPr>
        <w:spacing w:after="0" w:line="240" w:lineRule="auto"/>
        <w:ind w:firstLine="709"/>
        <w:jc w:val="both"/>
        <w:rPr>
          <w:rFonts w:ascii="Times New Roman" w:eastAsia="Calibri" w:hAnsi="Times New Roman" w:cs="Times New Roman"/>
          <w:b/>
          <w:spacing w:val="-2"/>
          <w:sz w:val="30"/>
          <w:szCs w:val="30"/>
        </w:rPr>
      </w:pPr>
      <w:r w:rsidRPr="00D00400">
        <w:rPr>
          <w:rFonts w:ascii="Times New Roman" w:eastAsia="Calibri" w:hAnsi="Times New Roman" w:cs="Times New Roman"/>
          <w:b/>
          <w:spacing w:val="-2"/>
          <w:sz w:val="30"/>
          <w:szCs w:val="30"/>
        </w:rPr>
        <w:t xml:space="preserve">Цель исследований. </w:t>
      </w:r>
      <w:r w:rsidRPr="00D00400">
        <w:rPr>
          <w:rFonts w:ascii="Times New Roman" w:eastAsia="Calibri" w:hAnsi="Times New Roman" w:cs="Times New Roman"/>
          <w:spacing w:val="-2"/>
          <w:sz w:val="30"/>
          <w:szCs w:val="30"/>
        </w:rPr>
        <w:t>Определить закономерности влияния удобрения Альбит на производство привитого посадочного материала.</w:t>
      </w:r>
    </w:p>
    <w:p w:rsidR="00D00400" w:rsidRPr="00D00400" w:rsidRDefault="00D00400" w:rsidP="00D00400">
      <w:pPr>
        <w:spacing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b/>
          <w:sz w:val="30"/>
          <w:szCs w:val="30"/>
        </w:rPr>
        <w:t>Методика исследований.</w:t>
      </w:r>
      <w:r w:rsidRPr="00D00400">
        <w:rPr>
          <w:rFonts w:ascii="Times New Roman" w:eastAsia="Calibri" w:hAnsi="Times New Roman" w:cs="Times New Roman"/>
          <w:sz w:val="30"/>
          <w:szCs w:val="30"/>
        </w:rPr>
        <w:t xml:space="preserve"> Исследования проводились в 2012–2014 гг. на посадочном материале, выращиваемом в школке виноградных саженцев в лаборатории </w:t>
      </w:r>
      <w:proofErr w:type="spellStart"/>
      <w:r w:rsidRPr="00D00400">
        <w:rPr>
          <w:rFonts w:ascii="Times New Roman" w:eastAsia="Calibri" w:hAnsi="Times New Roman" w:cs="Times New Roman"/>
          <w:sz w:val="30"/>
          <w:szCs w:val="30"/>
        </w:rPr>
        <w:t>питомниководства</w:t>
      </w:r>
      <w:proofErr w:type="spellEnd"/>
      <w:r w:rsidRPr="00D00400">
        <w:rPr>
          <w:rFonts w:ascii="Times New Roman" w:eastAsia="Calibri" w:hAnsi="Times New Roman" w:cs="Times New Roman"/>
          <w:sz w:val="30"/>
          <w:szCs w:val="30"/>
        </w:rPr>
        <w:t xml:space="preserve"> винограда ФГБНУ </w:t>
      </w:r>
      <w:proofErr w:type="spellStart"/>
      <w:r w:rsidRPr="00D00400">
        <w:rPr>
          <w:rFonts w:ascii="Times New Roman" w:eastAsia="Calibri" w:hAnsi="Times New Roman" w:cs="Times New Roman"/>
          <w:sz w:val="30"/>
          <w:szCs w:val="30"/>
        </w:rPr>
        <w:t>ВНИИВиВ</w:t>
      </w:r>
      <w:proofErr w:type="spellEnd"/>
      <w:r w:rsidRPr="00D00400">
        <w:rPr>
          <w:rFonts w:ascii="Times New Roman" w:eastAsia="Calibri" w:hAnsi="Times New Roman" w:cs="Times New Roman"/>
          <w:sz w:val="30"/>
          <w:szCs w:val="30"/>
        </w:rPr>
        <w:t xml:space="preserve">. Использовался полевой метод исследований. Закладка опыта, учеты и наблюдения проводились по общепринятым в виноградарстве методикам [3, 4]. </w:t>
      </w:r>
    </w:p>
    <w:p w:rsidR="00D00400" w:rsidRPr="00D00400" w:rsidRDefault="00D00400" w:rsidP="00D00400">
      <w:pPr>
        <w:spacing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 xml:space="preserve">Объект исследования –влияние удобрения на процесс </w:t>
      </w:r>
      <w:proofErr w:type="spellStart"/>
      <w:r w:rsidRPr="00D00400">
        <w:rPr>
          <w:rFonts w:ascii="Times New Roman" w:eastAsia="Calibri" w:hAnsi="Times New Roman" w:cs="Times New Roman"/>
          <w:sz w:val="30"/>
          <w:szCs w:val="30"/>
        </w:rPr>
        <w:t>каллюсообразования</w:t>
      </w:r>
      <w:proofErr w:type="spellEnd"/>
      <w:r w:rsidRPr="00D00400">
        <w:rPr>
          <w:rFonts w:ascii="Times New Roman" w:eastAsia="Calibri" w:hAnsi="Times New Roman" w:cs="Times New Roman"/>
          <w:sz w:val="30"/>
          <w:szCs w:val="30"/>
        </w:rPr>
        <w:t xml:space="preserve"> привитых виноградных черенков.</w:t>
      </w:r>
    </w:p>
    <w:p w:rsidR="00D00400" w:rsidRPr="00D00400" w:rsidRDefault="00D00400" w:rsidP="00D00400">
      <w:pPr>
        <w:spacing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 xml:space="preserve">Предмет исследования – привитые черенки технического сорта Кристалл, привитого на подвой </w:t>
      </w:r>
      <w:proofErr w:type="spellStart"/>
      <w:r w:rsidRPr="00D00400">
        <w:rPr>
          <w:rFonts w:ascii="Times New Roman" w:eastAsia="Calibri" w:hAnsi="Times New Roman" w:cs="Times New Roman"/>
          <w:sz w:val="30"/>
          <w:szCs w:val="30"/>
        </w:rPr>
        <w:t>Кобер</w:t>
      </w:r>
      <w:proofErr w:type="spellEnd"/>
      <w:r w:rsidRPr="00D00400">
        <w:rPr>
          <w:rFonts w:ascii="Times New Roman" w:eastAsia="Calibri" w:hAnsi="Times New Roman" w:cs="Times New Roman"/>
          <w:sz w:val="30"/>
          <w:szCs w:val="30"/>
        </w:rPr>
        <w:t xml:space="preserve"> 5ББ. </w:t>
      </w:r>
    </w:p>
    <w:p w:rsidR="00D00400" w:rsidRPr="00D00400" w:rsidRDefault="00D00400" w:rsidP="00D00400">
      <w:pPr>
        <w:spacing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 xml:space="preserve">В качестве удобрения был взят препарат Альбит в пять концентрациях, каждая последующая превосходила предыдущую в два раз. Контроль – вариант без удобрений. </w:t>
      </w:r>
    </w:p>
    <w:p w:rsidR="00D00400" w:rsidRPr="00D00400" w:rsidRDefault="00D00400" w:rsidP="00D00400">
      <w:pPr>
        <w:spacing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Схема опыта:</w:t>
      </w:r>
    </w:p>
    <w:p w:rsidR="00D00400" w:rsidRPr="00D00400" w:rsidRDefault="00D00400" w:rsidP="00D00400">
      <w:pPr>
        <w:numPr>
          <w:ilvl w:val="0"/>
          <w:numId w:val="1"/>
        </w:numPr>
        <w:spacing w:after="0" w:line="240" w:lineRule="auto"/>
        <w:ind w:firstLine="709"/>
        <w:contextualSpacing/>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Контроль (без удобрений)</w:t>
      </w:r>
    </w:p>
    <w:p w:rsidR="00D00400" w:rsidRPr="00D00400" w:rsidRDefault="00D00400" w:rsidP="00D00400">
      <w:pPr>
        <w:numPr>
          <w:ilvl w:val="0"/>
          <w:numId w:val="1"/>
        </w:numPr>
        <w:spacing w:after="0" w:line="240" w:lineRule="auto"/>
        <w:ind w:firstLine="709"/>
        <w:contextualSpacing/>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Альбит 0,02 %</w:t>
      </w:r>
    </w:p>
    <w:p w:rsidR="00D00400" w:rsidRPr="00D00400" w:rsidRDefault="00D00400" w:rsidP="00D00400">
      <w:pPr>
        <w:numPr>
          <w:ilvl w:val="0"/>
          <w:numId w:val="1"/>
        </w:numPr>
        <w:spacing w:after="0" w:line="240" w:lineRule="auto"/>
        <w:ind w:firstLine="709"/>
        <w:contextualSpacing/>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Альбит 0,04 %</w:t>
      </w:r>
    </w:p>
    <w:p w:rsidR="00D00400" w:rsidRPr="00D00400" w:rsidRDefault="00D00400" w:rsidP="00D00400">
      <w:pPr>
        <w:numPr>
          <w:ilvl w:val="0"/>
          <w:numId w:val="1"/>
        </w:numPr>
        <w:spacing w:after="0" w:line="240" w:lineRule="auto"/>
        <w:ind w:firstLine="709"/>
        <w:contextualSpacing/>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Альбит 0,06 %</w:t>
      </w:r>
    </w:p>
    <w:p w:rsidR="00D00400" w:rsidRPr="00D00400" w:rsidRDefault="00D00400" w:rsidP="00D00400">
      <w:pPr>
        <w:numPr>
          <w:ilvl w:val="0"/>
          <w:numId w:val="1"/>
        </w:numPr>
        <w:spacing w:after="0" w:line="240" w:lineRule="auto"/>
        <w:ind w:firstLine="709"/>
        <w:contextualSpacing/>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Альбит 0,08 %</w:t>
      </w:r>
    </w:p>
    <w:p w:rsidR="00D00400" w:rsidRPr="00D00400" w:rsidRDefault="00D00400" w:rsidP="00D00400">
      <w:pPr>
        <w:numPr>
          <w:ilvl w:val="0"/>
          <w:numId w:val="1"/>
        </w:numPr>
        <w:spacing w:after="0" w:line="240" w:lineRule="auto"/>
        <w:ind w:firstLine="709"/>
        <w:contextualSpacing/>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Альбит 0,10 %</w:t>
      </w:r>
    </w:p>
    <w:p w:rsidR="00D00400" w:rsidRPr="00D00400" w:rsidRDefault="00D00400" w:rsidP="00D00400">
      <w:pPr>
        <w:shd w:val="clear" w:color="auto" w:fill="FFFFFF"/>
        <w:spacing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i/>
          <w:sz w:val="30"/>
          <w:szCs w:val="30"/>
        </w:rPr>
        <w:t>Альбит –</w:t>
      </w:r>
      <w:r w:rsidRPr="00D00400">
        <w:rPr>
          <w:rFonts w:ascii="Times New Roman" w:eastAsia="Calibri" w:hAnsi="Times New Roman" w:cs="Times New Roman"/>
          <w:sz w:val="30"/>
          <w:szCs w:val="30"/>
        </w:rPr>
        <w:t xml:space="preserve"> содержит очищенное действующее вещество поли-бета-</w:t>
      </w:r>
      <w:proofErr w:type="spellStart"/>
      <w:r w:rsidRPr="00D00400">
        <w:rPr>
          <w:rFonts w:ascii="Times New Roman" w:eastAsia="Calibri" w:hAnsi="Times New Roman" w:cs="Times New Roman"/>
          <w:sz w:val="30"/>
          <w:szCs w:val="30"/>
        </w:rPr>
        <w:t>гидроксимасляную</w:t>
      </w:r>
      <w:proofErr w:type="spellEnd"/>
      <w:r w:rsidRPr="00D00400">
        <w:rPr>
          <w:rFonts w:ascii="Times New Roman" w:eastAsia="Calibri" w:hAnsi="Times New Roman" w:cs="Times New Roman"/>
          <w:sz w:val="30"/>
          <w:szCs w:val="30"/>
        </w:rPr>
        <w:t xml:space="preserve"> кислоту из почвенных бактерий </w:t>
      </w:r>
      <w:r w:rsidRPr="00D00400">
        <w:rPr>
          <w:rFonts w:ascii="Times New Roman" w:eastAsia="Calibri" w:hAnsi="Times New Roman" w:cs="Times New Roman"/>
          <w:sz w:val="30"/>
          <w:szCs w:val="30"/>
          <w:lang w:val="en-US"/>
        </w:rPr>
        <w:t>Bacillus</w:t>
      </w:r>
      <w:r w:rsidRPr="00D00400">
        <w:rPr>
          <w:rFonts w:ascii="Times New Roman" w:eastAsia="Calibri" w:hAnsi="Times New Roman" w:cs="Times New Roman"/>
          <w:sz w:val="30"/>
          <w:szCs w:val="30"/>
        </w:rPr>
        <w:t xml:space="preserve"> </w:t>
      </w:r>
      <w:proofErr w:type="spellStart"/>
      <w:r w:rsidRPr="00D00400">
        <w:rPr>
          <w:rFonts w:ascii="Times New Roman" w:eastAsia="Calibri" w:hAnsi="Times New Roman" w:cs="Times New Roman"/>
          <w:sz w:val="30"/>
          <w:szCs w:val="30"/>
          <w:lang w:val="en-US"/>
        </w:rPr>
        <w:t>megaterium</w:t>
      </w:r>
      <w:proofErr w:type="spellEnd"/>
      <w:r w:rsidRPr="00D00400">
        <w:rPr>
          <w:rFonts w:ascii="Times New Roman" w:eastAsia="Calibri" w:hAnsi="Times New Roman" w:cs="Times New Roman"/>
          <w:sz w:val="30"/>
          <w:szCs w:val="30"/>
        </w:rPr>
        <w:t xml:space="preserve"> и </w:t>
      </w:r>
      <w:r w:rsidRPr="00D00400">
        <w:rPr>
          <w:rFonts w:ascii="Times New Roman" w:eastAsia="Calibri" w:hAnsi="Times New Roman" w:cs="Times New Roman"/>
          <w:sz w:val="30"/>
          <w:szCs w:val="30"/>
          <w:lang w:val="en-US"/>
        </w:rPr>
        <w:t>Pseudomonas</w:t>
      </w:r>
      <w:r w:rsidRPr="00D00400">
        <w:rPr>
          <w:rFonts w:ascii="Times New Roman" w:eastAsia="Calibri" w:hAnsi="Times New Roman" w:cs="Times New Roman"/>
          <w:sz w:val="30"/>
          <w:szCs w:val="30"/>
        </w:rPr>
        <w:t xml:space="preserve"> </w:t>
      </w:r>
      <w:proofErr w:type="spellStart"/>
      <w:r w:rsidRPr="00D00400">
        <w:rPr>
          <w:rFonts w:ascii="Times New Roman" w:eastAsia="Calibri" w:hAnsi="Times New Roman" w:cs="Times New Roman"/>
          <w:sz w:val="30"/>
          <w:szCs w:val="30"/>
          <w:lang w:val="en-US"/>
        </w:rPr>
        <w:t>aureofaciens</w:t>
      </w:r>
      <w:proofErr w:type="spellEnd"/>
      <w:r w:rsidRPr="00D00400">
        <w:rPr>
          <w:rFonts w:ascii="Times New Roman" w:eastAsia="Calibri" w:hAnsi="Times New Roman" w:cs="Times New Roman"/>
          <w:sz w:val="30"/>
          <w:szCs w:val="30"/>
        </w:rPr>
        <w:t xml:space="preserve">. В состав препарата также входят вещества, усиливающие эффект основного </w:t>
      </w:r>
      <w:proofErr w:type="spellStart"/>
      <w:r w:rsidRPr="00D00400">
        <w:rPr>
          <w:rFonts w:ascii="Times New Roman" w:eastAsia="Calibri" w:hAnsi="Times New Roman" w:cs="Times New Roman"/>
          <w:sz w:val="30"/>
          <w:szCs w:val="30"/>
        </w:rPr>
        <w:t>д.в</w:t>
      </w:r>
      <w:proofErr w:type="spellEnd"/>
      <w:r w:rsidRPr="00D00400">
        <w:rPr>
          <w:rFonts w:ascii="Times New Roman" w:eastAsia="Calibri" w:hAnsi="Times New Roman" w:cs="Times New Roman"/>
          <w:sz w:val="30"/>
          <w:szCs w:val="30"/>
        </w:rPr>
        <w:t>.: сбалансированный стартовый набор макро- и микроэлементов (</w:t>
      </w:r>
      <w:r w:rsidRPr="00D00400">
        <w:rPr>
          <w:rFonts w:ascii="Times New Roman" w:eastAsia="Calibri" w:hAnsi="Times New Roman" w:cs="Times New Roman"/>
          <w:sz w:val="30"/>
          <w:szCs w:val="30"/>
          <w:lang w:val="en-US"/>
        </w:rPr>
        <w:t>N</w:t>
      </w:r>
      <w:r w:rsidRPr="00D00400">
        <w:rPr>
          <w:rFonts w:ascii="Times New Roman" w:eastAsia="Calibri" w:hAnsi="Times New Roman" w:cs="Times New Roman"/>
          <w:sz w:val="30"/>
          <w:szCs w:val="30"/>
        </w:rPr>
        <w:t xml:space="preserve">, </w:t>
      </w:r>
      <w:r w:rsidRPr="00D00400">
        <w:rPr>
          <w:rFonts w:ascii="Times New Roman" w:eastAsia="Calibri" w:hAnsi="Times New Roman" w:cs="Times New Roman"/>
          <w:sz w:val="30"/>
          <w:szCs w:val="30"/>
          <w:lang w:val="en-US"/>
        </w:rPr>
        <w:t>P</w:t>
      </w:r>
      <w:r w:rsidRPr="00D00400">
        <w:rPr>
          <w:rFonts w:ascii="Times New Roman" w:eastAsia="Calibri" w:hAnsi="Times New Roman" w:cs="Times New Roman"/>
          <w:sz w:val="30"/>
          <w:szCs w:val="30"/>
        </w:rPr>
        <w:t xml:space="preserve">, </w:t>
      </w:r>
      <w:r w:rsidRPr="00D00400">
        <w:rPr>
          <w:rFonts w:ascii="Times New Roman" w:eastAsia="Calibri" w:hAnsi="Times New Roman" w:cs="Times New Roman"/>
          <w:sz w:val="30"/>
          <w:szCs w:val="30"/>
          <w:lang w:val="en-US"/>
        </w:rPr>
        <w:t>R</w:t>
      </w:r>
      <w:r w:rsidRPr="00D00400">
        <w:rPr>
          <w:rFonts w:ascii="Times New Roman" w:eastAsia="Calibri" w:hAnsi="Times New Roman" w:cs="Times New Roman"/>
          <w:sz w:val="30"/>
          <w:szCs w:val="30"/>
        </w:rPr>
        <w:t xml:space="preserve">, </w:t>
      </w:r>
      <w:r w:rsidRPr="00D00400">
        <w:rPr>
          <w:rFonts w:ascii="Times New Roman" w:eastAsia="Calibri" w:hAnsi="Times New Roman" w:cs="Times New Roman"/>
          <w:sz w:val="30"/>
          <w:szCs w:val="30"/>
          <w:lang w:val="en-US"/>
        </w:rPr>
        <w:t>Mg</w:t>
      </w:r>
      <w:r w:rsidRPr="00D00400">
        <w:rPr>
          <w:rFonts w:ascii="Times New Roman" w:eastAsia="Calibri" w:hAnsi="Times New Roman" w:cs="Times New Roman"/>
          <w:sz w:val="30"/>
          <w:szCs w:val="30"/>
        </w:rPr>
        <w:t xml:space="preserve">, </w:t>
      </w:r>
      <w:r w:rsidRPr="00D00400">
        <w:rPr>
          <w:rFonts w:ascii="Times New Roman" w:eastAsia="Calibri" w:hAnsi="Times New Roman" w:cs="Times New Roman"/>
          <w:sz w:val="30"/>
          <w:szCs w:val="30"/>
          <w:lang w:val="en-US"/>
        </w:rPr>
        <w:t>S</w:t>
      </w:r>
      <w:r w:rsidRPr="00D00400">
        <w:rPr>
          <w:rFonts w:ascii="Times New Roman" w:eastAsia="Calibri" w:hAnsi="Times New Roman" w:cs="Times New Roman"/>
          <w:sz w:val="30"/>
          <w:szCs w:val="30"/>
        </w:rPr>
        <w:t xml:space="preserve">, </w:t>
      </w:r>
      <w:r w:rsidRPr="00D00400">
        <w:rPr>
          <w:rFonts w:ascii="Times New Roman" w:eastAsia="Calibri" w:hAnsi="Times New Roman" w:cs="Times New Roman"/>
          <w:sz w:val="30"/>
          <w:szCs w:val="30"/>
          <w:lang w:val="en-US"/>
        </w:rPr>
        <w:t>Fe</w:t>
      </w:r>
      <w:r w:rsidRPr="00D00400">
        <w:rPr>
          <w:rFonts w:ascii="Times New Roman" w:eastAsia="Calibri" w:hAnsi="Times New Roman" w:cs="Times New Roman"/>
          <w:sz w:val="30"/>
          <w:szCs w:val="30"/>
        </w:rPr>
        <w:t xml:space="preserve">, </w:t>
      </w:r>
      <w:proofErr w:type="spellStart"/>
      <w:r w:rsidRPr="00D00400">
        <w:rPr>
          <w:rFonts w:ascii="Times New Roman" w:eastAsia="Calibri" w:hAnsi="Times New Roman" w:cs="Times New Roman"/>
          <w:sz w:val="30"/>
          <w:szCs w:val="30"/>
          <w:lang w:val="en-US"/>
        </w:rPr>
        <w:t>Mn</w:t>
      </w:r>
      <w:proofErr w:type="spellEnd"/>
      <w:r w:rsidRPr="00D00400">
        <w:rPr>
          <w:rFonts w:ascii="Times New Roman" w:eastAsia="Calibri" w:hAnsi="Times New Roman" w:cs="Times New Roman"/>
          <w:sz w:val="30"/>
          <w:szCs w:val="30"/>
        </w:rPr>
        <w:t xml:space="preserve">, </w:t>
      </w:r>
      <w:r w:rsidRPr="00D00400">
        <w:rPr>
          <w:rFonts w:ascii="Times New Roman" w:eastAsia="Calibri" w:hAnsi="Times New Roman" w:cs="Times New Roman"/>
          <w:sz w:val="30"/>
          <w:szCs w:val="30"/>
          <w:lang w:val="en-US"/>
        </w:rPr>
        <w:t>Mo</w:t>
      </w:r>
      <w:r w:rsidRPr="00D00400">
        <w:rPr>
          <w:rFonts w:ascii="Times New Roman" w:eastAsia="Calibri" w:hAnsi="Times New Roman" w:cs="Times New Roman"/>
          <w:sz w:val="30"/>
          <w:szCs w:val="30"/>
        </w:rPr>
        <w:t xml:space="preserve">, </w:t>
      </w:r>
      <w:r w:rsidRPr="00D00400">
        <w:rPr>
          <w:rFonts w:ascii="Times New Roman" w:eastAsia="Calibri" w:hAnsi="Times New Roman" w:cs="Times New Roman"/>
          <w:sz w:val="30"/>
          <w:szCs w:val="30"/>
          <w:lang w:val="en-US"/>
        </w:rPr>
        <w:t>Cu</w:t>
      </w:r>
      <w:r w:rsidRPr="00D00400">
        <w:rPr>
          <w:rFonts w:ascii="Times New Roman" w:eastAsia="Calibri" w:hAnsi="Times New Roman" w:cs="Times New Roman"/>
          <w:sz w:val="30"/>
          <w:szCs w:val="30"/>
        </w:rPr>
        <w:t xml:space="preserve">, </w:t>
      </w:r>
      <w:r w:rsidRPr="00D00400">
        <w:rPr>
          <w:rFonts w:ascii="Times New Roman" w:eastAsia="Calibri" w:hAnsi="Times New Roman" w:cs="Times New Roman"/>
          <w:sz w:val="30"/>
          <w:szCs w:val="30"/>
          <w:lang w:val="en-US"/>
        </w:rPr>
        <w:t>Co</w:t>
      </w:r>
      <w:r w:rsidRPr="00D00400">
        <w:rPr>
          <w:rFonts w:ascii="Times New Roman" w:eastAsia="Calibri" w:hAnsi="Times New Roman" w:cs="Times New Roman"/>
          <w:sz w:val="30"/>
          <w:szCs w:val="30"/>
        </w:rPr>
        <w:t xml:space="preserve">, </w:t>
      </w:r>
      <w:r w:rsidRPr="00D00400">
        <w:rPr>
          <w:rFonts w:ascii="Times New Roman" w:eastAsia="Calibri" w:hAnsi="Times New Roman" w:cs="Times New Roman"/>
          <w:sz w:val="30"/>
          <w:szCs w:val="30"/>
          <w:lang w:val="en-US"/>
        </w:rPr>
        <w:t>B</w:t>
      </w:r>
      <w:r w:rsidRPr="00D00400">
        <w:rPr>
          <w:rFonts w:ascii="Times New Roman" w:eastAsia="Calibri" w:hAnsi="Times New Roman" w:cs="Times New Roman"/>
          <w:sz w:val="30"/>
          <w:szCs w:val="30"/>
        </w:rPr>
        <w:t xml:space="preserve">, </w:t>
      </w:r>
      <w:r w:rsidRPr="00D00400">
        <w:rPr>
          <w:rFonts w:ascii="Times New Roman" w:eastAsia="Calibri" w:hAnsi="Times New Roman" w:cs="Times New Roman"/>
          <w:sz w:val="30"/>
          <w:szCs w:val="30"/>
          <w:lang w:val="en-US"/>
        </w:rPr>
        <w:t>I</w:t>
      </w:r>
      <w:r w:rsidRPr="00D00400">
        <w:rPr>
          <w:rFonts w:ascii="Times New Roman" w:eastAsia="Calibri" w:hAnsi="Times New Roman" w:cs="Times New Roman"/>
          <w:sz w:val="30"/>
          <w:szCs w:val="30"/>
        </w:rPr>
        <w:t xml:space="preserve">, </w:t>
      </w:r>
      <w:r w:rsidRPr="00D00400">
        <w:rPr>
          <w:rFonts w:ascii="Times New Roman" w:eastAsia="Calibri" w:hAnsi="Times New Roman" w:cs="Times New Roman"/>
          <w:sz w:val="30"/>
          <w:szCs w:val="30"/>
          <w:lang w:val="en-US"/>
        </w:rPr>
        <w:t>Se</w:t>
      </w:r>
      <w:r w:rsidRPr="00D00400">
        <w:rPr>
          <w:rFonts w:ascii="Times New Roman" w:eastAsia="Calibri" w:hAnsi="Times New Roman" w:cs="Times New Roman"/>
          <w:sz w:val="30"/>
          <w:szCs w:val="30"/>
        </w:rPr>
        <w:t xml:space="preserve">, </w:t>
      </w:r>
      <w:r w:rsidRPr="00D00400">
        <w:rPr>
          <w:rFonts w:ascii="Times New Roman" w:eastAsia="Calibri" w:hAnsi="Times New Roman" w:cs="Times New Roman"/>
          <w:sz w:val="30"/>
          <w:szCs w:val="30"/>
          <w:lang w:val="en-US"/>
        </w:rPr>
        <w:t>Na</w:t>
      </w:r>
      <w:r w:rsidRPr="00D00400">
        <w:rPr>
          <w:rFonts w:ascii="Times New Roman" w:eastAsia="Calibri" w:hAnsi="Times New Roman" w:cs="Times New Roman"/>
          <w:sz w:val="30"/>
          <w:szCs w:val="30"/>
        </w:rPr>
        <w:t xml:space="preserve">, </w:t>
      </w:r>
      <w:r w:rsidRPr="00D00400">
        <w:rPr>
          <w:rFonts w:ascii="Times New Roman" w:eastAsia="Calibri" w:hAnsi="Times New Roman" w:cs="Times New Roman"/>
          <w:sz w:val="30"/>
          <w:szCs w:val="30"/>
          <w:lang w:val="en-US"/>
        </w:rPr>
        <w:t>Ni</w:t>
      </w:r>
      <w:r w:rsidRPr="00D00400">
        <w:rPr>
          <w:rFonts w:ascii="Times New Roman" w:eastAsia="Calibri" w:hAnsi="Times New Roman" w:cs="Times New Roman"/>
          <w:sz w:val="30"/>
          <w:szCs w:val="30"/>
        </w:rPr>
        <w:t xml:space="preserve">, </w:t>
      </w:r>
      <w:r w:rsidRPr="00D00400">
        <w:rPr>
          <w:rFonts w:ascii="Times New Roman" w:eastAsia="Calibri" w:hAnsi="Times New Roman" w:cs="Times New Roman"/>
          <w:sz w:val="30"/>
          <w:szCs w:val="30"/>
          <w:lang w:val="en-US"/>
        </w:rPr>
        <w:t>Zn</w:t>
      </w:r>
      <w:r w:rsidRPr="00D00400">
        <w:rPr>
          <w:rFonts w:ascii="Times New Roman" w:eastAsia="Calibri" w:hAnsi="Times New Roman" w:cs="Times New Roman"/>
          <w:sz w:val="30"/>
          <w:szCs w:val="30"/>
        </w:rPr>
        <w:t xml:space="preserve">) и терпеновые кислоты хвойного экстракта. Альбит не содержит живых микроорганизмов (а только </w:t>
      </w:r>
      <w:proofErr w:type="spellStart"/>
      <w:r w:rsidRPr="00D00400">
        <w:rPr>
          <w:rFonts w:ascii="Times New Roman" w:eastAsia="Calibri" w:hAnsi="Times New Roman" w:cs="Times New Roman"/>
          <w:sz w:val="30"/>
          <w:szCs w:val="30"/>
        </w:rPr>
        <w:t>д.в</w:t>
      </w:r>
      <w:proofErr w:type="spellEnd"/>
      <w:r w:rsidRPr="00D00400">
        <w:rPr>
          <w:rFonts w:ascii="Times New Roman" w:eastAsia="Calibri" w:hAnsi="Times New Roman" w:cs="Times New Roman"/>
          <w:sz w:val="30"/>
          <w:szCs w:val="30"/>
        </w:rPr>
        <w:t xml:space="preserve">. из них), что делает действие препарата более стабильным, менее поверженным влиянию </w:t>
      </w:r>
      <w:r w:rsidRPr="00D00400">
        <w:rPr>
          <w:rFonts w:ascii="Times New Roman" w:eastAsia="Calibri" w:hAnsi="Times New Roman" w:cs="Times New Roman"/>
          <w:sz w:val="30"/>
          <w:szCs w:val="30"/>
        </w:rPr>
        <w:lastRenderedPageBreak/>
        <w:t xml:space="preserve">условий внешней среды. Альбит характеризуется низкой стоимостью и </w:t>
      </w:r>
      <w:proofErr w:type="spellStart"/>
      <w:r w:rsidRPr="00D00400">
        <w:rPr>
          <w:rFonts w:ascii="Times New Roman" w:eastAsia="Calibri" w:hAnsi="Times New Roman" w:cs="Times New Roman"/>
          <w:sz w:val="30"/>
          <w:szCs w:val="30"/>
        </w:rPr>
        <w:t>экологичностью</w:t>
      </w:r>
      <w:proofErr w:type="spellEnd"/>
      <w:r w:rsidRPr="00D00400">
        <w:rPr>
          <w:rFonts w:ascii="Times New Roman" w:eastAsia="Calibri" w:hAnsi="Times New Roman" w:cs="Times New Roman"/>
          <w:sz w:val="30"/>
          <w:szCs w:val="30"/>
        </w:rPr>
        <w:t xml:space="preserve"> биологических препаратов по эффективности и стабильности.</w:t>
      </w:r>
    </w:p>
    <w:p w:rsidR="00D00400" w:rsidRPr="00D00400" w:rsidRDefault="00D00400" w:rsidP="00D00400">
      <w:pPr>
        <w:spacing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b/>
          <w:sz w:val="30"/>
          <w:szCs w:val="30"/>
        </w:rPr>
        <w:t xml:space="preserve">Результаты исследований. </w:t>
      </w:r>
      <w:r w:rsidRPr="00D00400">
        <w:rPr>
          <w:rFonts w:ascii="Times New Roman" w:eastAsia="Calibri" w:hAnsi="Times New Roman" w:cs="Times New Roman"/>
          <w:sz w:val="30"/>
          <w:szCs w:val="30"/>
        </w:rPr>
        <w:t>Проводимые нами исследования предполагают качественно новый подход к обеспечению растений макро- и микроэлементами и направлены на выявление эффективности внекорневых подкормок удобрением Альбит, его влияние на биометрические показатели развития растений и выход привитых саженцев винограда.</w:t>
      </w:r>
    </w:p>
    <w:p w:rsidR="00D00400" w:rsidRPr="00D00400" w:rsidRDefault="00D00400" w:rsidP="00D00400">
      <w:pPr>
        <w:widowControl w:val="0"/>
        <w:spacing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 xml:space="preserve">Данные по выходу прививок обработанные препаратом Альбит из </w:t>
      </w:r>
      <w:proofErr w:type="spellStart"/>
      <w:r w:rsidRPr="00D00400">
        <w:rPr>
          <w:rFonts w:ascii="Times New Roman" w:eastAsia="Calibri" w:hAnsi="Times New Roman" w:cs="Times New Roman"/>
          <w:sz w:val="30"/>
          <w:szCs w:val="30"/>
        </w:rPr>
        <w:t>стратификационной</w:t>
      </w:r>
      <w:proofErr w:type="spellEnd"/>
      <w:r w:rsidRPr="00D00400">
        <w:rPr>
          <w:rFonts w:ascii="Times New Roman" w:eastAsia="Calibri" w:hAnsi="Times New Roman" w:cs="Times New Roman"/>
          <w:sz w:val="30"/>
          <w:szCs w:val="30"/>
        </w:rPr>
        <w:t xml:space="preserve"> камеры с круговым каллусом и качественной прививкой приведены в таблице 1.</w:t>
      </w:r>
    </w:p>
    <w:p w:rsidR="00D00400" w:rsidRPr="00D00400" w:rsidRDefault="00D00400" w:rsidP="00D00400">
      <w:pPr>
        <w:widowControl w:val="0"/>
        <w:spacing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Анализ данных по показателю выхода прививок со стратификации в варианте VI концентрация 0,10 % составляет 92,2 %, что на 21,1 % больше, чем в контрольном варианте (71,1 %).</w:t>
      </w:r>
    </w:p>
    <w:p w:rsidR="00D00400" w:rsidRPr="00D00400" w:rsidRDefault="00D00400" w:rsidP="00D00400">
      <w:pPr>
        <w:spacing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Близкие к контролю показатели наблюдаются в вариантах II и III концентрация 0,02 % и 0,04 % соответственно 77,8–75,6 %. У остальных вариантов IV и V данный показатель значительно выше, и выход со стратификации составляет от 82,2 % до 86,7 %.</w:t>
      </w:r>
    </w:p>
    <w:p w:rsidR="00D00400" w:rsidRPr="00D00400" w:rsidRDefault="00D00400" w:rsidP="00D00400">
      <w:pPr>
        <w:spacing w:before="120" w:after="0" w:line="240" w:lineRule="auto"/>
        <w:jc w:val="right"/>
        <w:rPr>
          <w:rFonts w:ascii="Times New Roman" w:eastAsia="Calibri" w:hAnsi="Times New Roman" w:cs="Times New Roman"/>
          <w:sz w:val="24"/>
          <w:szCs w:val="24"/>
        </w:rPr>
      </w:pPr>
      <w:r w:rsidRPr="00D00400">
        <w:rPr>
          <w:rFonts w:ascii="Times New Roman" w:eastAsia="Calibri" w:hAnsi="Times New Roman" w:cs="Times New Roman"/>
          <w:sz w:val="24"/>
          <w:szCs w:val="24"/>
        </w:rPr>
        <w:t>Таблица 1</w:t>
      </w:r>
    </w:p>
    <w:p w:rsidR="00D00400" w:rsidRPr="00D00400" w:rsidRDefault="00D00400" w:rsidP="00D00400">
      <w:pPr>
        <w:spacing w:after="0" w:line="240" w:lineRule="auto"/>
        <w:jc w:val="center"/>
        <w:rPr>
          <w:rFonts w:ascii="Times New Roman" w:eastAsia="Calibri" w:hAnsi="Times New Roman" w:cs="Times New Roman"/>
          <w:b/>
          <w:sz w:val="24"/>
          <w:szCs w:val="24"/>
        </w:rPr>
      </w:pPr>
      <w:r w:rsidRPr="00D00400">
        <w:rPr>
          <w:rFonts w:ascii="Times New Roman" w:eastAsia="Calibri" w:hAnsi="Times New Roman" w:cs="Times New Roman"/>
          <w:b/>
          <w:sz w:val="24"/>
          <w:szCs w:val="24"/>
        </w:rPr>
        <w:t xml:space="preserve">Выход прививок, обработанных препаратом Альбит со стратификации, </w:t>
      </w:r>
    </w:p>
    <w:p w:rsidR="00D00400" w:rsidRPr="00D00400" w:rsidRDefault="00D00400" w:rsidP="00D00400">
      <w:pPr>
        <w:spacing w:after="120" w:line="240" w:lineRule="auto"/>
        <w:jc w:val="center"/>
        <w:rPr>
          <w:rFonts w:ascii="Times New Roman" w:eastAsia="Calibri" w:hAnsi="Times New Roman" w:cs="Times New Roman"/>
          <w:b/>
          <w:sz w:val="24"/>
          <w:szCs w:val="24"/>
        </w:rPr>
      </w:pPr>
      <w:r w:rsidRPr="00D00400">
        <w:rPr>
          <w:rFonts w:ascii="Times New Roman" w:eastAsia="Calibri" w:hAnsi="Times New Roman" w:cs="Times New Roman"/>
          <w:b/>
          <w:sz w:val="24"/>
          <w:szCs w:val="24"/>
        </w:rPr>
        <w:t xml:space="preserve">сорт Кристалл × </w:t>
      </w:r>
      <w:proofErr w:type="spellStart"/>
      <w:r w:rsidRPr="00D00400">
        <w:rPr>
          <w:rFonts w:ascii="Times New Roman" w:eastAsia="Calibri" w:hAnsi="Times New Roman" w:cs="Times New Roman"/>
          <w:b/>
          <w:sz w:val="24"/>
          <w:szCs w:val="24"/>
        </w:rPr>
        <w:t>Кобер</w:t>
      </w:r>
      <w:proofErr w:type="spellEnd"/>
      <w:r w:rsidRPr="00D00400">
        <w:rPr>
          <w:rFonts w:ascii="Times New Roman" w:eastAsia="Calibri" w:hAnsi="Times New Roman" w:cs="Times New Roman"/>
          <w:b/>
          <w:sz w:val="24"/>
          <w:szCs w:val="24"/>
        </w:rPr>
        <w:t xml:space="preserve"> 5 ББ, среднее за 2012–2014 гг.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2"/>
        <w:gridCol w:w="4494"/>
      </w:tblGrid>
      <w:tr w:rsidR="00D00400" w:rsidRPr="00D00400" w:rsidTr="00D539E6">
        <w:trPr>
          <w:trHeight w:val="246"/>
          <w:jc w:val="center"/>
        </w:trPr>
        <w:tc>
          <w:tcPr>
            <w:tcW w:w="4462" w:type="dxa"/>
            <w:shd w:val="clear" w:color="auto" w:fill="auto"/>
          </w:tcPr>
          <w:p w:rsidR="00D00400" w:rsidRPr="00D00400" w:rsidRDefault="00D00400" w:rsidP="00D00400">
            <w:pPr>
              <w:spacing w:after="0" w:line="240" w:lineRule="auto"/>
              <w:jc w:val="center"/>
              <w:rPr>
                <w:rFonts w:ascii="Times New Roman" w:eastAsia="Calibri" w:hAnsi="Times New Roman" w:cs="Times New Roman"/>
              </w:rPr>
            </w:pPr>
            <w:r w:rsidRPr="00D00400">
              <w:rPr>
                <w:rFonts w:ascii="Times New Roman" w:eastAsia="Calibri" w:hAnsi="Times New Roman" w:cs="Times New Roman"/>
              </w:rPr>
              <w:t>Вариант опыта</w:t>
            </w:r>
          </w:p>
        </w:tc>
        <w:tc>
          <w:tcPr>
            <w:tcW w:w="4494" w:type="dxa"/>
            <w:shd w:val="clear" w:color="auto" w:fill="auto"/>
          </w:tcPr>
          <w:p w:rsidR="00D00400" w:rsidRPr="00D00400" w:rsidRDefault="00D00400" w:rsidP="00D00400">
            <w:pPr>
              <w:spacing w:after="0" w:line="240" w:lineRule="auto"/>
              <w:jc w:val="center"/>
              <w:rPr>
                <w:rFonts w:ascii="Times New Roman" w:eastAsia="Calibri" w:hAnsi="Times New Roman" w:cs="Times New Roman"/>
              </w:rPr>
            </w:pPr>
            <w:r w:rsidRPr="00D00400">
              <w:rPr>
                <w:rFonts w:ascii="Times New Roman" w:eastAsia="Calibri" w:hAnsi="Times New Roman" w:cs="Times New Roman"/>
              </w:rPr>
              <w:t>Выход прививок со стратификации, %</w:t>
            </w:r>
          </w:p>
        </w:tc>
      </w:tr>
      <w:tr w:rsidR="00D00400" w:rsidRPr="00D00400" w:rsidTr="00D539E6">
        <w:trPr>
          <w:trHeight w:val="262"/>
          <w:jc w:val="center"/>
        </w:trPr>
        <w:tc>
          <w:tcPr>
            <w:tcW w:w="4462" w:type="dxa"/>
            <w:shd w:val="clear" w:color="auto" w:fill="auto"/>
          </w:tcPr>
          <w:p w:rsidR="00D00400" w:rsidRPr="00D00400" w:rsidRDefault="00D00400" w:rsidP="00D00400">
            <w:pPr>
              <w:spacing w:after="0" w:line="240" w:lineRule="auto"/>
              <w:ind w:firstLine="828"/>
              <w:rPr>
                <w:rFonts w:ascii="Times New Roman" w:eastAsia="Calibri" w:hAnsi="Times New Roman" w:cs="Times New Roman"/>
              </w:rPr>
            </w:pPr>
            <w:r w:rsidRPr="00D00400">
              <w:rPr>
                <w:rFonts w:ascii="Times New Roman" w:eastAsia="Calibri" w:hAnsi="Times New Roman" w:cs="Times New Roman"/>
              </w:rPr>
              <w:t>1. Контроль (без удобрений)</w:t>
            </w:r>
          </w:p>
        </w:tc>
        <w:tc>
          <w:tcPr>
            <w:tcW w:w="4494" w:type="dxa"/>
            <w:shd w:val="clear" w:color="auto" w:fill="auto"/>
          </w:tcPr>
          <w:p w:rsidR="00D00400" w:rsidRPr="00D00400" w:rsidRDefault="00D00400" w:rsidP="00D00400">
            <w:pPr>
              <w:spacing w:after="0" w:line="240" w:lineRule="auto"/>
              <w:jc w:val="center"/>
              <w:rPr>
                <w:rFonts w:ascii="Times New Roman" w:eastAsia="Calibri" w:hAnsi="Times New Roman" w:cs="Times New Roman"/>
              </w:rPr>
            </w:pPr>
            <w:r w:rsidRPr="00D00400">
              <w:rPr>
                <w:rFonts w:ascii="Times New Roman" w:eastAsia="Calibri" w:hAnsi="Times New Roman" w:cs="Times New Roman"/>
              </w:rPr>
              <w:t>71,1</w:t>
            </w:r>
          </w:p>
        </w:tc>
      </w:tr>
      <w:tr w:rsidR="00D00400" w:rsidRPr="00D00400" w:rsidTr="00D539E6">
        <w:trPr>
          <w:trHeight w:val="246"/>
          <w:jc w:val="center"/>
        </w:trPr>
        <w:tc>
          <w:tcPr>
            <w:tcW w:w="4462" w:type="dxa"/>
            <w:shd w:val="clear" w:color="auto" w:fill="auto"/>
          </w:tcPr>
          <w:p w:rsidR="00D00400" w:rsidRPr="00D00400" w:rsidRDefault="00D00400" w:rsidP="00D00400">
            <w:pPr>
              <w:spacing w:after="0" w:line="240" w:lineRule="auto"/>
              <w:ind w:firstLine="828"/>
              <w:rPr>
                <w:rFonts w:ascii="Times New Roman" w:eastAsia="Calibri" w:hAnsi="Times New Roman" w:cs="Times New Roman"/>
              </w:rPr>
            </w:pPr>
            <w:r w:rsidRPr="00D00400">
              <w:rPr>
                <w:rFonts w:ascii="Times New Roman" w:eastAsia="Calibri" w:hAnsi="Times New Roman" w:cs="Times New Roman"/>
              </w:rPr>
              <w:t>2. Альбит – 0,02 %</w:t>
            </w:r>
          </w:p>
        </w:tc>
        <w:tc>
          <w:tcPr>
            <w:tcW w:w="4494" w:type="dxa"/>
            <w:shd w:val="clear" w:color="auto" w:fill="auto"/>
          </w:tcPr>
          <w:p w:rsidR="00D00400" w:rsidRPr="00D00400" w:rsidRDefault="00D00400" w:rsidP="00D00400">
            <w:pPr>
              <w:spacing w:after="0" w:line="240" w:lineRule="auto"/>
              <w:jc w:val="center"/>
              <w:rPr>
                <w:rFonts w:ascii="Times New Roman" w:eastAsia="Calibri" w:hAnsi="Times New Roman" w:cs="Times New Roman"/>
              </w:rPr>
            </w:pPr>
            <w:r w:rsidRPr="00D00400">
              <w:rPr>
                <w:rFonts w:ascii="Times New Roman" w:eastAsia="Calibri" w:hAnsi="Times New Roman" w:cs="Times New Roman"/>
              </w:rPr>
              <w:t>77,8</w:t>
            </w:r>
          </w:p>
        </w:tc>
      </w:tr>
      <w:tr w:rsidR="00D00400" w:rsidRPr="00D00400" w:rsidTr="00D539E6">
        <w:trPr>
          <w:trHeight w:val="262"/>
          <w:jc w:val="center"/>
        </w:trPr>
        <w:tc>
          <w:tcPr>
            <w:tcW w:w="4462" w:type="dxa"/>
            <w:shd w:val="clear" w:color="auto" w:fill="auto"/>
          </w:tcPr>
          <w:p w:rsidR="00D00400" w:rsidRPr="00D00400" w:rsidRDefault="00D00400" w:rsidP="00D00400">
            <w:pPr>
              <w:spacing w:after="0" w:line="240" w:lineRule="auto"/>
              <w:ind w:firstLine="828"/>
              <w:rPr>
                <w:rFonts w:ascii="Times New Roman" w:eastAsia="Calibri" w:hAnsi="Times New Roman" w:cs="Times New Roman"/>
              </w:rPr>
            </w:pPr>
            <w:r w:rsidRPr="00D00400">
              <w:rPr>
                <w:rFonts w:ascii="Times New Roman" w:eastAsia="Calibri" w:hAnsi="Times New Roman" w:cs="Times New Roman"/>
              </w:rPr>
              <w:t>3. Альбит – 0,04 %</w:t>
            </w:r>
          </w:p>
        </w:tc>
        <w:tc>
          <w:tcPr>
            <w:tcW w:w="4494" w:type="dxa"/>
            <w:shd w:val="clear" w:color="auto" w:fill="auto"/>
          </w:tcPr>
          <w:p w:rsidR="00D00400" w:rsidRPr="00D00400" w:rsidRDefault="00D00400" w:rsidP="00D00400">
            <w:pPr>
              <w:spacing w:after="0" w:line="240" w:lineRule="auto"/>
              <w:jc w:val="center"/>
              <w:rPr>
                <w:rFonts w:ascii="Times New Roman" w:eastAsia="Calibri" w:hAnsi="Times New Roman" w:cs="Times New Roman"/>
              </w:rPr>
            </w:pPr>
            <w:r w:rsidRPr="00D00400">
              <w:rPr>
                <w:rFonts w:ascii="Times New Roman" w:eastAsia="Calibri" w:hAnsi="Times New Roman" w:cs="Times New Roman"/>
              </w:rPr>
              <w:t>75,6</w:t>
            </w:r>
          </w:p>
        </w:tc>
      </w:tr>
      <w:tr w:rsidR="00D00400" w:rsidRPr="00D00400" w:rsidTr="00D539E6">
        <w:trPr>
          <w:trHeight w:val="246"/>
          <w:jc w:val="center"/>
        </w:trPr>
        <w:tc>
          <w:tcPr>
            <w:tcW w:w="4462" w:type="dxa"/>
            <w:shd w:val="clear" w:color="auto" w:fill="auto"/>
          </w:tcPr>
          <w:p w:rsidR="00D00400" w:rsidRPr="00D00400" w:rsidRDefault="00D00400" w:rsidP="00D00400">
            <w:pPr>
              <w:spacing w:after="0" w:line="240" w:lineRule="auto"/>
              <w:ind w:firstLine="828"/>
              <w:rPr>
                <w:rFonts w:ascii="Times New Roman" w:eastAsia="Calibri" w:hAnsi="Times New Roman" w:cs="Times New Roman"/>
              </w:rPr>
            </w:pPr>
            <w:r w:rsidRPr="00D00400">
              <w:rPr>
                <w:rFonts w:ascii="Times New Roman" w:eastAsia="Calibri" w:hAnsi="Times New Roman" w:cs="Times New Roman"/>
              </w:rPr>
              <w:t>4. Альбит – 0,06 %</w:t>
            </w:r>
          </w:p>
        </w:tc>
        <w:tc>
          <w:tcPr>
            <w:tcW w:w="4494" w:type="dxa"/>
            <w:shd w:val="clear" w:color="auto" w:fill="auto"/>
          </w:tcPr>
          <w:p w:rsidR="00D00400" w:rsidRPr="00D00400" w:rsidRDefault="00D00400" w:rsidP="00D00400">
            <w:pPr>
              <w:spacing w:after="0" w:line="240" w:lineRule="auto"/>
              <w:jc w:val="center"/>
              <w:rPr>
                <w:rFonts w:ascii="Times New Roman" w:eastAsia="Calibri" w:hAnsi="Times New Roman" w:cs="Times New Roman"/>
              </w:rPr>
            </w:pPr>
            <w:r w:rsidRPr="00D00400">
              <w:rPr>
                <w:rFonts w:ascii="Times New Roman" w:eastAsia="Calibri" w:hAnsi="Times New Roman" w:cs="Times New Roman"/>
              </w:rPr>
              <w:t>82,2</w:t>
            </w:r>
          </w:p>
        </w:tc>
      </w:tr>
      <w:tr w:rsidR="00D00400" w:rsidRPr="00D00400" w:rsidTr="00D539E6">
        <w:trPr>
          <w:trHeight w:val="262"/>
          <w:jc w:val="center"/>
        </w:trPr>
        <w:tc>
          <w:tcPr>
            <w:tcW w:w="4462" w:type="dxa"/>
            <w:shd w:val="clear" w:color="auto" w:fill="auto"/>
          </w:tcPr>
          <w:p w:rsidR="00D00400" w:rsidRPr="00D00400" w:rsidRDefault="00D00400" w:rsidP="00D00400">
            <w:pPr>
              <w:spacing w:after="0" w:line="240" w:lineRule="auto"/>
              <w:ind w:firstLine="828"/>
              <w:rPr>
                <w:rFonts w:ascii="Times New Roman" w:eastAsia="Calibri" w:hAnsi="Times New Roman" w:cs="Times New Roman"/>
              </w:rPr>
            </w:pPr>
            <w:r w:rsidRPr="00D00400">
              <w:rPr>
                <w:rFonts w:ascii="Times New Roman" w:eastAsia="Calibri" w:hAnsi="Times New Roman" w:cs="Times New Roman"/>
              </w:rPr>
              <w:t>5. Альбит – 0,08 %</w:t>
            </w:r>
          </w:p>
        </w:tc>
        <w:tc>
          <w:tcPr>
            <w:tcW w:w="4494" w:type="dxa"/>
            <w:shd w:val="clear" w:color="auto" w:fill="auto"/>
          </w:tcPr>
          <w:p w:rsidR="00D00400" w:rsidRPr="00D00400" w:rsidRDefault="00D00400" w:rsidP="00D00400">
            <w:pPr>
              <w:spacing w:after="0" w:line="240" w:lineRule="auto"/>
              <w:jc w:val="center"/>
              <w:rPr>
                <w:rFonts w:ascii="Times New Roman" w:eastAsia="Calibri" w:hAnsi="Times New Roman" w:cs="Times New Roman"/>
              </w:rPr>
            </w:pPr>
            <w:r w:rsidRPr="00D00400">
              <w:rPr>
                <w:rFonts w:ascii="Times New Roman" w:eastAsia="Calibri" w:hAnsi="Times New Roman" w:cs="Times New Roman"/>
              </w:rPr>
              <w:t>86,7</w:t>
            </w:r>
          </w:p>
        </w:tc>
      </w:tr>
      <w:tr w:rsidR="00D00400" w:rsidRPr="00D00400" w:rsidTr="00D539E6">
        <w:trPr>
          <w:trHeight w:val="246"/>
          <w:jc w:val="center"/>
        </w:trPr>
        <w:tc>
          <w:tcPr>
            <w:tcW w:w="4462" w:type="dxa"/>
            <w:shd w:val="clear" w:color="auto" w:fill="auto"/>
          </w:tcPr>
          <w:p w:rsidR="00D00400" w:rsidRPr="00D00400" w:rsidRDefault="00D00400" w:rsidP="00D00400">
            <w:pPr>
              <w:spacing w:after="0" w:line="240" w:lineRule="auto"/>
              <w:ind w:firstLine="828"/>
              <w:rPr>
                <w:rFonts w:ascii="Times New Roman" w:eastAsia="Calibri" w:hAnsi="Times New Roman" w:cs="Times New Roman"/>
              </w:rPr>
            </w:pPr>
            <w:r w:rsidRPr="00D00400">
              <w:rPr>
                <w:rFonts w:ascii="Times New Roman" w:eastAsia="Calibri" w:hAnsi="Times New Roman" w:cs="Times New Roman"/>
              </w:rPr>
              <w:t>6. Альбит – 0,10 %</w:t>
            </w:r>
          </w:p>
        </w:tc>
        <w:tc>
          <w:tcPr>
            <w:tcW w:w="4494" w:type="dxa"/>
            <w:shd w:val="clear" w:color="auto" w:fill="auto"/>
          </w:tcPr>
          <w:p w:rsidR="00D00400" w:rsidRPr="00D00400" w:rsidRDefault="00D00400" w:rsidP="00D00400">
            <w:pPr>
              <w:spacing w:after="0" w:line="240" w:lineRule="auto"/>
              <w:jc w:val="center"/>
              <w:rPr>
                <w:rFonts w:ascii="Times New Roman" w:eastAsia="Calibri" w:hAnsi="Times New Roman" w:cs="Times New Roman"/>
              </w:rPr>
            </w:pPr>
            <w:r w:rsidRPr="00D00400">
              <w:rPr>
                <w:rFonts w:ascii="Times New Roman" w:eastAsia="Calibri" w:hAnsi="Times New Roman" w:cs="Times New Roman"/>
              </w:rPr>
              <w:t>92,2</w:t>
            </w:r>
          </w:p>
        </w:tc>
      </w:tr>
      <w:tr w:rsidR="00D00400" w:rsidRPr="00D00400" w:rsidTr="00D539E6">
        <w:trPr>
          <w:trHeight w:val="277"/>
          <w:jc w:val="center"/>
        </w:trPr>
        <w:tc>
          <w:tcPr>
            <w:tcW w:w="4462" w:type="dxa"/>
            <w:shd w:val="clear" w:color="auto" w:fill="auto"/>
          </w:tcPr>
          <w:p w:rsidR="00D00400" w:rsidRPr="00D00400" w:rsidRDefault="00D00400" w:rsidP="00D00400">
            <w:pPr>
              <w:spacing w:after="0" w:line="240" w:lineRule="auto"/>
              <w:ind w:firstLine="828"/>
              <w:rPr>
                <w:rFonts w:ascii="Times New Roman" w:eastAsia="Calibri" w:hAnsi="Times New Roman" w:cs="Times New Roman"/>
              </w:rPr>
            </w:pPr>
            <w:r w:rsidRPr="00D00400">
              <w:rPr>
                <w:rFonts w:ascii="Times New Roman" w:eastAsia="Calibri" w:hAnsi="Times New Roman" w:cs="Times New Roman"/>
              </w:rPr>
              <w:t>НСР</w:t>
            </w:r>
            <w:r w:rsidRPr="00D00400">
              <w:rPr>
                <w:rFonts w:ascii="Times New Roman" w:eastAsia="Calibri" w:hAnsi="Times New Roman" w:cs="Times New Roman"/>
                <w:vertAlign w:val="subscript"/>
              </w:rPr>
              <w:t>05</w:t>
            </w:r>
          </w:p>
        </w:tc>
        <w:tc>
          <w:tcPr>
            <w:tcW w:w="4494" w:type="dxa"/>
            <w:shd w:val="clear" w:color="auto" w:fill="auto"/>
          </w:tcPr>
          <w:p w:rsidR="00D00400" w:rsidRPr="00D00400" w:rsidRDefault="00D00400" w:rsidP="00D00400">
            <w:pPr>
              <w:tabs>
                <w:tab w:val="left" w:pos="2282"/>
                <w:tab w:val="center" w:pos="2355"/>
              </w:tabs>
              <w:spacing w:after="0" w:line="240" w:lineRule="auto"/>
              <w:jc w:val="center"/>
              <w:rPr>
                <w:rFonts w:ascii="Times New Roman" w:eastAsia="Calibri" w:hAnsi="Times New Roman" w:cs="Times New Roman"/>
              </w:rPr>
            </w:pPr>
            <w:r w:rsidRPr="00D00400">
              <w:rPr>
                <w:rFonts w:ascii="Times New Roman" w:eastAsia="Calibri" w:hAnsi="Times New Roman" w:cs="Times New Roman"/>
                <w:lang w:val="en-US"/>
              </w:rPr>
              <w:t>1</w:t>
            </w:r>
            <w:r w:rsidRPr="00D00400">
              <w:rPr>
                <w:rFonts w:ascii="Times New Roman" w:eastAsia="Calibri" w:hAnsi="Times New Roman" w:cs="Times New Roman"/>
              </w:rPr>
              <w:t>,63</w:t>
            </w:r>
          </w:p>
        </w:tc>
      </w:tr>
    </w:tbl>
    <w:p w:rsidR="00D00400" w:rsidRPr="00D00400" w:rsidRDefault="00D00400" w:rsidP="00D00400">
      <w:pPr>
        <w:spacing w:before="240"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Приживаемость прививок в школке и показатели развития саженцев приведены по результатам исследований в полевых условиях. Результаты представлены в таблице 2.</w:t>
      </w:r>
    </w:p>
    <w:p w:rsidR="00D00400" w:rsidRPr="00D00400" w:rsidRDefault="00D00400" w:rsidP="00D00400">
      <w:pPr>
        <w:spacing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 xml:space="preserve">Анализ приживаемости показывает, что контроль превзошли пять вариантов. Следует отметить, что подкормка удобрением альбит на ранней стадии развития прививок оказала положительное влияние на процессы адаптации, с увеличением концентрации препарата приживаемость привитых черенков возрастает. </w:t>
      </w:r>
    </w:p>
    <w:p w:rsidR="00D00400" w:rsidRPr="00D00400" w:rsidRDefault="00D00400" w:rsidP="00D00400">
      <w:pPr>
        <w:spacing w:before="120" w:after="0" w:line="240" w:lineRule="auto"/>
        <w:jc w:val="right"/>
        <w:rPr>
          <w:rFonts w:ascii="Times New Roman" w:eastAsia="Calibri" w:hAnsi="Times New Roman" w:cs="Times New Roman"/>
          <w:sz w:val="24"/>
          <w:szCs w:val="24"/>
        </w:rPr>
      </w:pPr>
      <w:r w:rsidRPr="00D00400">
        <w:rPr>
          <w:rFonts w:ascii="Times New Roman" w:eastAsia="Calibri" w:hAnsi="Times New Roman" w:cs="Times New Roman"/>
          <w:sz w:val="24"/>
          <w:szCs w:val="24"/>
        </w:rPr>
        <w:t>Таблица 2</w:t>
      </w:r>
    </w:p>
    <w:p w:rsidR="00D00400" w:rsidRPr="00D00400" w:rsidRDefault="00D00400" w:rsidP="00D00400">
      <w:pPr>
        <w:spacing w:after="120" w:line="240" w:lineRule="auto"/>
        <w:jc w:val="center"/>
        <w:rPr>
          <w:rFonts w:ascii="Times New Roman" w:eastAsia="Calibri" w:hAnsi="Times New Roman" w:cs="Times New Roman"/>
          <w:b/>
          <w:sz w:val="24"/>
          <w:szCs w:val="24"/>
        </w:rPr>
      </w:pPr>
      <w:r w:rsidRPr="00D00400">
        <w:rPr>
          <w:rFonts w:ascii="Times New Roman" w:eastAsia="Calibri" w:hAnsi="Times New Roman" w:cs="Times New Roman"/>
          <w:b/>
          <w:sz w:val="24"/>
          <w:szCs w:val="24"/>
        </w:rPr>
        <w:t xml:space="preserve">Приживаемость привитых саженцев винограда сорта Кристалл × </w:t>
      </w:r>
      <w:proofErr w:type="spellStart"/>
      <w:r w:rsidRPr="00D00400">
        <w:rPr>
          <w:rFonts w:ascii="Times New Roman" w:eastAsia="Calibri" w:hAnsi="Times New Roman" w:cs="Times New Roman"/>
          <w:b/>
          <w:sz w:val="24"/>
          <w:szCs w:val="24"/>
        </w:rPr>
        <w:t>Кобер</w:t>
      </w:r>
      <w:proofErr w:type="spellEnd"/>
      <w:r w:rsidRPr="00D00400">
        <w:rPr>
          <w:rFonts w:ascii="Times New Roman" w:eastAsia="Calibri" w:hAnsi="Times New Roman" w:cs="Times New Roman"/>
          <w:b/>
          <w:sz w:val="24"/>
          <w:szCs w:val="24"/>
        </w:rPr>
        <w:t xml:space="preserve"> 5 ББ в школке, среднее за 2012-2014 гг.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4"/>
        <w:gridCol w:w="4661"/>
      </w:tblGrid>
      <w:tr w:rsidR="00D00400" w:rsidRPr="00D00400" w:rsidTr="00D539E6">
        <w:trPr>
          <w:jc w:val="center"/>
        </w:trPr>
        <w:tc>
          <w:tcPr>
            <w:tcW w:w="4234" w:type="dxa"/>
            <w:shd w:val="clear" w:color="auto" w:fill="auto"/>
            <w:vAlign w:val="center"/>
          </w:tcPr>
          <w:p w:rsidR="00D00400" w:rsidRPr="00D00400" w:rsidRDefault="00D00400" w:rsidP="00D00400">
            <w:pPr>
              <w:spacing w:after="0" w:line="240" w:lineRule="auto"/>
              <w:jc w:val="center"/>
              <w:rPr>
                <w:rFonts w:ascii="Times New Roman" w:eastAsia="Calibri" w:hAnsi="Times New Roman" w:cs="Times New Roman"/>
              </w:rPr>
            </w:pPr>
            <w:r w:rsidRPr="00D00400">
              <w:rPr>
                <w:rFonts w:ascii="Times New Roman" w:eastAsia="Calibri" w:hAnsi="Times New Roman" w:cs="Times New Roman"/>
              </w:rPr>
              <w:t>Вариант опыта</w:t>
            </w:r>
          </w:p>
        </w:tc>
        <w:tc>
          <w:tcPr>
            <w:tcW w:w="4661" w:type="dxa"/>
            <w:shd w:val="clear" w:color="auto" w:fill="auto"/>
          </w:tcPr>
          <w:p w:rsidR="00D00400" w:rsidRPr="00D00400" w:rsidRDefault="00D00400" w:rsidP="00D00400">
            <w:pPr>
              <w:spacing w:after="0" w:line="240" w:lineRule="auto"/>
              <w:jc w:val="center"/>
              <w:rPr>
                <w:rFonts w:ascii="Times New Roman" w:eastAsia="Calibri" w:hAnsi="Times New Roman" w:cs="Times New Roman"/>
              </w:rPr>
            </w:pPr>
            <w:r w:rsidRPr="00D00400">
              <w:rPr>
                <w:rFonts w:ascii="Times New Roman" w:eastAsia="Calibri" w:hAnsi="Times New Roman" w:cs="Times New Roman"/>
              </w:rPr>
              <w:t>Приживаемость привитых черенков в школке, %</w:t>
            </w:r>
          </w:p>
        </w:tc>
      </w:tr>
      <w:tr w:rsidR="00D00400" w:rsidRPr="00D00400" w:rsidTr="00D539E6">
        <w:trPr>
          <w:jc w:val="center"/>
        </w:trPr>
        <w:tc>
          <w:tcPr>
            <w:tcW w:w="4234" w:type="dxa"/>
            <w:shd w:val="clear" w:color="auto" w:fill="auto"/>
          </w:tcPr>
          <w:p w:rsidR="00D00400" w:rsidRPr="00D00400" w:rsidRDefault="00D00400" w:rsidP="00D00400">
            <w:pPr>
              <w:spacing w:after="0" w:line="240" w:lineRule="auto"/>
              <w:ind w:firstLine="1134"/>
              <w:jc w:val="both"/>
              <w:rPr>
                <w:rFonts w:ascii="Times New Roman" w:eastAsia="Calibri" w:hAnsi="Times New Roman" w:cs="Times New Roman"/>
              </w:rPr>
            </w:pPr>
            <w:r w:rsidRPr="00D00400">
              <w:rPr>
                <w:rFonts w:ascii="Times New Roman" w:eastAsia="Calibri" w:hAnsi="Times New Roman" w:cs="Times New Roman"/>
              </w:rPr>
              <w:lastRenderedPageBreak/>
              <w:t>1. Контроль (без удобрений)</w:t>
            </w:r>
          </w:p>
        </w:tc>
        <w:tc>
          <w:tcPr>
            <w:tcW w:w="4661" w:type="dxa"/>
            <w:shd w:val="clear" w:color="auto" w:fill="auto"/>
          </w:tcPr>
          <w:p w:rsidR="00D00400" w:rsidRPr="00D00400" w:rsidRDefault="00D00400" w:rsidP="00D00400">
            <w:pPr>
              <w:spacing w:after="0" w:line="240" w:lineRule="auto"/>
              <w:jc w:val="center"/>
              <w:rPr>
                <w:rFonts w:ascii="Times New Roman" w:eastAsia="Calibri" w:hAnsi="Times New Roman" w:cs="Times New Roman"/>
              </w:rPr>
            </w:pPr>
            <w:r w:rsidRPr="00D00400">
              <w:rPr>
                <w:rFonts w:ascii="Times New Roman" w:eastAsia="Calibri" w:hAnsi="Times New Roman" w:cs="Times New Roman"/>
              </w:rPr>
              <w:t>66,7</w:t>
            </w:r>
          </w:p>
        </w:tc>
      </w:tr>
      <w:tr w:rsidR="00D00400" w:rsidRPr="00D00400" w:rsidTr="00D539E6">
        <w:trPr>
          <w:jc w:val="center"/>
        </w:trPr>
        <w:tc>
          <w:tcPr>
            <w:tcW w:w="4234" w:type="dxa"/>
            <w:shd w:val="clear" w:color="auto" w:fill="auto"/>
          </w:tcPr>
          <w:p w:rsidR="00D00400" w:rsidRPr="00D00400" w:rsidRDefault="00D00400" w:rsidP="00D00400">
            <w:pPr>
              <w:spacing w:after="0" w:line="240" w:lineRule="auto"/>
              <w:ind w:firstLine="1134"/>
              <w:jc w:val="both"/>
              <w:rPr>
                <w:rFonts w:ascii="Times New Roman" w:eastAsia="Calibri" w:hAnsi="Times New Roman" w:cs="Times New Roman"/>
              </w:rPr>
            </w:pPr>
            <w:r w:rsidRPr="00D00400">
              <w:rPr>
                <w:rFonts w:ascii="Times New Roman" w:eastAsia="Calibri" w:hAnsi="Times New Roman" w:cs="Times New Roman"/>
              </w:rPr>
              <w:t>2. Альбит – 0,02 %</w:t>
            </w:r>
          </w:p>
        </w:tc>
        <w:tc>
          <w:tcPr>
            <w:tcW w:w="4661" w:type="dxa"/>
            <w:shd w:val="clear" w:color="auto" w:fill="auto"/>
          </w:tcPr>
          <w:p w:rsidR="00D00400" w:rsidRPr="00D00400" w:rsidRDefault="00D00400" w:rsidP="00D00400">
            <w:pPr>
              <w:spacing w:after="0" w:line="240" w:lineRule="auto"/>
              <w:jc w:val="center"/>
              <w:rPr>
                <w:rFonts w:ascii="Times New Roman" w:eastAsia="Calibri" w:hAnsi="Times New Roman" w:cs="Times New Roman"/>
              </w:rPr>
            </w:pPr>
            <w:r w:rsidRPr="00D00400">
              <w:rPr>
                <w:rFonts w:ascii="Times New Roman" w:eastAsia="Calibri" w:hAnsi="Times New Roman" w:cs="Times New Roman"/>
              </w:rPr>
              <w:t>72,2</w:t>
            </w:r>
          </w:p>
        </w:tc>
      </w:tr>
      <w:tr w:rsidR="00D00400" w:rsidRPr="00D00400" w:rsidTr="00D539E6">
        <w:trPr>
          <w:jc w:val="center"/>
        </w:trPr>
        <w:tc>
          <w:tcPr>
            <w:tcW w:w="4234" w:type="dxa"/>
            <w:shd w:val="clear" w:color="auto" w:fill="auto"/>
          </w:tcPr>
          <w:p w:rsidR="00D00400" w:rsidRPr="00D00400" w:rsidRDefault="00D00400" w:rsidP="00D00400">
            <w:pPr>
              <w:spacing w:after="0" w:line="240" w:lineRule="auto"/>
              <w:ind w:firstLine="1134"/>
              <w:jc w:val="both"/>
              <w:rPr>
                <w:rFonts w:ascii="Times New Roman" w:eastAsia="Calibri" w:hAnsi="Times New Roman" w:cs="Times New Roman"/>
              </w:rPr>
            </w:pPr>
            <w:r w:rsidRPr="00D00400">
              <w:rPr>
                <w:rFonts w:ascii="Times New Roman" w:eastAsia="Calibri" w:hAnsi="Times New Roman" w:cs="Times New Roman"/>
              </w:rPr>
              <w:t>3. Альбит – 0,04 %</w:t>
            </w:r>
          </w:p>
        </w:tc>
        <w:tc>
          <w:tcPr>
            <w:tcW w:w="4661" w:type="dxa"/>
            <w:shd w:val="clear" w:color="auto" w:fill="auto"/>
          </w:tcPr>
          <w:p w:rsidR="00D00400" w:rsidRPr="00D00400" w:rsidRDefault="00D00400" w:rsidP="00D00400">
            <w:pPr>
              <w:spacing w:after="0" w:line="240" w:lineRule="auto"/>
              <w:jc w:val="center"/>
              <w:rPr>
                <w:rFonts w:ascii="Times New Roman" w:eastAsia="Calibri" w:hAnsi="Times New Roman" w:cs="Times New Roman"/>
              </w:rPr>
            </w:pPr>
            <w:r w:rsidRPr="00D00400">
              <w:rPr>
                <w:rFonts w:ascii="Times New Roman" w:eastAsia="Calibri" w:hAnsi="Times New Roman" w:cs="Times New Roman"/>
              </w:rPr>
              <w:t>70,0</w:t>
            </w:r>
          </w:p>
        </w:tc>
      </w:tr>
      <w:tr w:rsidR="00D00400" w:rsidRPr="00D00400" w:rsidTr="00D539E6">
        <w:trPr>
          <w:jc w:val="center"/>
        </w:trPr>
        <w:tc>
          <w:tcPr>
            <w:tcW w:w="4234" w:type="dxa"/>
            <w:shd w:val="clear" w:color="auto" w:fill="auto"/>
          </w:tcPr>
          <w:p w:rsidR="00D00400" w:rsidRPr="00D00400" w:rsidRDefault="00D00400" w:rsidP="00D00400">
            <w:pPr>
              <w:spacing w:after="0" w:line="240" w:lineRule="auto"/>
              <w:ind w:firstLine="1134"/>
              <w:jc w:val="both"/>
              <w:rPr>
                <w:rFonts w:ascii="Times New Roman" w:eastAsia="Calibri" w:hAnsi="Times New Roman" w:cs="Times New Roman"/>
              </w:rPr>
            </w:pPr>
            <w:r w:rsidRPr="00D00400">
              <w:rPr>
                <w:rFonts w:ascii="Times New Roman" w:eastAsia="Calibri" w:hAnsi="Times New Roman" w:cs="Times New Roman"/>
              </w:rPr>
              <w:t>4. Альбит – 0,06 %</w:t>
            </w:r>
          </w:p>
        </w:tc>
        <w:tc>
          <w:tcPr>
            <w:tcW w:w="4661" w:type="dxa"/>
            <w:shd w:val="clear" w:color="auto" w:fill="auto"/>
          </w:tcPr>
          <w:p w:rsidR="00D00400" w:rsidRPr="00D00400" w:rsidRDefault="00D00400" w:rsidP="00D00400">
            <w:pPr>
              <w:spacing w:after="0" w:line="240" w:lineRule="auto"/>
              <w:jc w:val="center"/>
              <w:rPr>
                <w:rFonts w:ascii="Times New Roman" w:eastAsia="Calibri" w:hAnsi="Times New Roman" w:cs="Times New Roman"/>
              </w:rPr>
            </w:pPr>
            <w:r w:rsidRPr="00D00400">
              <w:rPr>
                <w:rFonts w:ascii="Times New Roman" w:eastAsia="Calibri" w:hAnsi="Times New Roman" w:cs="Times New Roman"/>
              </w:rPr>
              <w:t>76,7</w:t>
            </w:r>
          </w:p>
        </w:tc>
      </w:tr>
      <w:tr w:rsidR="00D00400" w:rsidRPr="00D00400" w:rsidTr="00D539E6">
        <w:trPr>
          <w:jc w:val="center"/>
        </w:trPr>
        <w:tc>
          <w:tcPr>
            <w:tcW w:w="4234" w:type="dxa"/>
            <w:shd w:val="clear" w:color="auto" w:fill="auto"/>
          </w:tcPr>
          <w:p w:rsidR="00D00400" w:rsidRPr="00D00400" w:rsidRDefault="00D00400" w:rsidP="00D00400">
            <w:pPr>
              <w:spacing w:after="0" w:line="240" w:lineRule="auto"/>
              <w:ind w:firstLine="1134"/>
              <w:jc w:val="both"/>
              <w:rPr>
                <w:rFonts w:ascii="Times New Roman" w:eastAsia="Calibri" w:hAnsi="Times New Roman" w:cs="Times New Roman"/>
              </w:rPr>
            </w:pPr>
            <w:r w:rsidRPr="00D00400">
              <w:rPr>
                <w:rFonts w:ascii="Times New Roman" w:eastAsia="Calibri" w:hAnsi="Times New Roman" w:cs="Times New Roman"/>
              </w:rPr>
              <w:t>5. Альбит – 0,08 %</w:t>
            </w:r>
          </w:p>
        </w:tc>
        <w:tc>
          <w:tcPr>
            <w:tcW w:w="4661" w:type="dxa"/>
            <w:shd w:val="clear" w:color="auto" w:fill="auto"/>
          </w:tcPr>
          <w:p w:rsidR="00D00400" w:rsidRPr="00D00400" w:rsidRDefault="00D00400" w:rsidP="00D00400">
            <w:pPr>
              <w:tabs>
                <w:tab w:val="left" w:pos="2119"/>
                <w:tab w:val="center" w:pos="2355"/>
              </w:tabs>
              <w:spacing w:after="0" w:line="240" w:lineRule="auto"/>
              <w:jc w:val="center"/>
              <w:rPr>
                <w:rFonts w:ascii="Times New Roman" w:eastAsia="Calibri" w:hAnsi="Times New Roman" w:cs="Times New Roman"/>
              </w:rPr>
            </w:pPr>
            <w:r w:rsidRPr="00D00400">
              <w:rPr>
                <w:rFonts w:ascii="Times New Roman" w:eastAsia="Calibri" w:hAnsi="Times New Roman" w:cs="Times New Roman"/>
              </w:rPr>
              <w:t>77,8</w:t>
            </w:r>
          </w:p>
        </w:tc>
      </w:tr>
      <w:tr w:rsidR="00D00400" w:rsidRPr="00D00400" w:rsidTr="00D539E6">
        <w:trPr>
          <w:jc w:val="center"/>
        </w:trPr>
        <w:tc>
          <w:tcPr>
            <w:tcW w:w="4234" w:type="dxa"/>
            <w:shd w:val="clear" w:color="auto" w:fill="auto"/>
          </w:tcPr>
          <w:p w:rsidR="00D00400" w:rsidRPr="00D00400" w:rsidRDefault="00D00400" w:rsidP="00D00400">
            <w:pPr>
              <w:spacing w:after="0" w:line="240" w:lineRule="auto"/>
              <w:ind w:firstLine="1134"/>
              <w:jc w:val="both"/>
              <w:rPr>
                <w:rFonts w:ascii="Times New Roman" w:eastAsia="Calibri" w:hAnsi="Times New Roman" w:cs="Times New Roman"/>
              </w:rPr>
            </w:pPr>
            <w:r w:rsidRPr="00D00400">
              <w:rPr>
                <w:rFonts w:ascii="Times New Roman" w:eastAsia="Calibri" w:hAnsi="Times New Roman" w:cs="Times New Roman"/>
              </w:rPr>
              <w:t>6. Альбит – 0,10 %</w:t>
            </w:r>
          </w:p>
        </w:tc>
        <w:tc>
          <w:tcPr>
            <w:tcW w:w="4661" w:type="dxa"/>
            <w:shd w:val="clear" w:color="auto" w:fill="auto"/>
          </w:tcPr>
          <w:p w:rsidR="00D00400" w:rsidRPr="00D00400" w:rsidRDefault="00D00400" w:rsidP="00D00400">
            <w:pPr>
              <w:spacing w:after="0" w:line="240" w:lineRule="auto"/>
              <w:jc w:val="center"/>
              <w:rPr>
                <w:rFonts w:ascii="Times New Roman" w:eastAsia="Calibri" w:hAnsi="Times New Roman" w:cs="Times New Roman"/>
              </w:rPr>
            </w:pPr>
            <w:r w:rsidRPr="00D00400">
              <w:rPr>
                <w:rFonts w:ascii="Times New Roman" w:eastAsia="Calibri" w:hAnsi="Times New Roman" w:cs="Times New Roman"/>
              </w:rPr>
              <w:t>83,3</w:t>
            </w:r>
          </w:p>
        </w:tc>
      </w:tr>
      <w:tr w:rsidR="00D00400" w:rsidRPr="00D00400" w:rsidTr="00D539E6">
        <w:trPr>
          <w:jc w:val="center"/>
        </w:trPr>
        <w:tc>
          <w:tcPr>
            <w:tcW w:w="4234" w:type="dxa"/>
            <w:shd w:val="clear" w:color="auto" w:fill="auto"/>
          </w:tcPr>
          <w:p w:rsidR="00D00400" w:rsidRPr="00D00400" w:rsidRDefault="00D00400" w:rsidP="00D00400">
            <w:pPr>
              <w:spacing w:after="0" w:line="240" w:lineRule="auto"/>
              <w:ind w:firstLine="1134"/>
              <w:jc w:val="both"/>
              <w:rPr>
                <w:rFonts w:ascii="Times New Roman" w:eastAsia="Calibri" w:hAnsi="Times New Roman" w:cs="Times New Roman"/>
              </w:rPr>
            </w:pPr>
            <w:r w:rsidRPr="00D00400">
              <w:rPr>
                <w:rFonts w:ascii="Times New Roman" w:eastAsia="Calibri" w:hAnsi="Times New Roman" w:cs="Times New Roman"/>
              </w:rPr>
              <w:t>НСР</w:t>
            </w:r>
            <w:r w:rsidRPr="00D00400">
              <w:rPr>
                <w:rFonts w:ascii="Times New Roman" w:eastAsia="Calibri" w:hAnsi="Times New Roman" w:cs="Times New Roman"/>
                <w:vertAlign w:val="subscript"/>
              </w:rPr>
              <w:t>05</w:t>
            </w:r>
          </w:p>
        </w:tc>
        <w:tc>
          <w:tcPr>
            <w:tcW w:w="4661" w:type="dxa"/>
            <w:shd w:val="clear" w:color="auto" w:fill="auto"/>
          </w:tcPr>
          <w:p w:rsidR="00D00400" w:rsidRPr="00D00400" w:rsidRDefault="00D00400" w:rsidP="00D00400">
            <w:pPr>
              <w:spacing w:after="0" w:line="240" w:lineRule="auto"/>
              <w:jc w:val="center"/>
              <w:rPr>
                <w:rFonts w:ascii="Times New Roman" w:eastAsia="Calibri" w:hAnsi="Times New Roman" w:cs="Times New Roman"/>
              </w:rPr>
            </w:pPr>
            <w:r w:rsidRPr="00D00400">
              <w:rPr>
                <w:rFonts w:ascii="Times New Roman" w:eastAsia="Calibri" w:hAnsi="Times New Roman" w:cs="Times New Roman"/>
              </w:rPr>
              <w:t>1,74</w:t>
            </w:r>
          </w:p>
        </w:tc>
      </w:tr>
    </w:tbl>
    <w:p w:rsidR="00D00400" w:rsidRPr="00D00400" w:rsidRDefault="00D00400" w:rsidP="00D00400">
      <w:pPr>
        <w:spacing w:before="240"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 xml:space="preserve">Исследования по изучению влияния внекорневой подкормки удобрением Альбит показали, положительное влияние на биометрические параметры привитых саженцев в школке. Растения, обработанные удобрением, отличались от контроля более высокими параметрами силы роста и </w:t>
      </w:r>
      <w:proofErr w:type="spellStart"/>
      <w:r w:rsidRPr="00D00400">
        <w:rPr>
          <w:rFonts w:ascii="Times New Roman" w:eastAsia="Calibri" w:hAnsi="Times New Roman" w:cs="Times New Roman"/>
          <w:sz w:val="30"/>
          <w:szCs w:val="30"/>
        </w:rPr>
        <w:t>облиственности</w:t>
      </w:r>
      <w:proofErr w:type="spellEnd"/>
      <w:r w:rsidRPr="00D00400">
        <w:rPr>
          <w:rFonts w:ascii="Times New Roman" w:eastAsia="Calibri" w:hAnsi="Times New Roman" w:cs="Times New Roman"/>
          <w:sz w:val="30"/>
          <w:szCs w:val="30"/>
        </w:rPr>
        <w:t>. Средняя длина побегов в опытных вариантах варьировала в пределах 110–140 см, в контроле без обработки – 79 см. Средняя длина вызревшей части побега варьировала в диапазоне от 67–84 см, в контроле 35 см.</w:t>
      </w:r>
    </w:p>
    <w:p w:rsidR="00D00400" w:rsidRPr="00D00400" w:rsidRDefault="00D00400" w:rsidP="00D00400">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00400">
        <w:rPr>
          <w:rFonts w:ascii="Times New Roman" w:eastAsia="Calibri" w:hAnsi="Times New Roman" w:cs="Times New Roman"/>
          <w:sz w:val="30"/>
          <w:szCs w:val="30"/>
        </w:rPr>
        <w:t xml:space="preserve">Положительное влияние на изменение диаметра побега отмечено во всех вариантах, наиболее очевидно при концентрации 0,04–0,10 % (табл. 3). </w:t>
      </w:r>
    </w:p>
    <w:p w:rsidR="00D00400" w:rsidRPr="00D00400" w:rsidRDefault="00D00400" w:rsidP="00D00400">
      <w:pPr>
        <w:spacing w:after="0" w:line="240" w:lineRule="auto"/>
        <w:jc w:val="right"/>
        <w:rPr>
          <w:rFonts w:ascii="Times New Roman" w:eastAsia="Calibri" w:hAnsi="Times New Roman" w:cs="Times New Roman"/>
          <w:sz w:val="24"/>
          <w:szCs w:val="24"/>
        </w:rPr>
      </w:pPr>
      <w:r w:rsidRPr="00D00400">
        <w:rPr>
          <w:rFonts w:ascii="Times New Roman" w:eastAsia="Calibri" w:hAnsi="Times New Roman" w:cs="Times New Roman"/>
          <w:sz w:val="24"/>
          <w:szCs w:val="24"/>
        </w:rPr>
        <w:t xml:space="preserve">Таблица 3 </w:t>
      </w:r>
    </w:p>
    <w:p w:rsidR="00D00400" w:rsidRPr="00D00400" w:rsidRDefault="00D00400" w:rsidP="00D00400">
      <w:pPr>
        <w:spacing w:after="0" w:line="240" w:lineRule="auto"/>
        <w:jc w:val="center"/>
        <w:rPr>
          <w:rFonts w:ascii="Times New Roman" w:eastAsia="Calibri" w:hAnsi="Times New Roman" w:cs="Times New Roman"/>
          <w:b/>
          <w:sz w:val="24"/>
          <w:szCs w:val="24"/>
        </w:rPr>
      </w:pPr>
      <w:r w:rsidRPr="00D00400">
        <w:rPr>
          <w:rFonts w:ascii="Times New Roman" w:eastAsia="Calibri" w:hAnsi="Times New Roman" w:cs="Times New Roman"/>
          <w:b/>
          <w:sz w:val="24"/>
          <w:szCs w:val="24"/>
        </w:rPr>
        <w:t xml:space="preserve">Влияние внекорневых подкормок удобрением Альбит на биометрические показатели привитых саженцев винограда сорта </w:t>
      </w:r>
      <w:r w:rsidRPr="00D00400">
        <w:rPr>
          <w:rFonts w:ascii="Times New Roman" w:eastAsia="Calibri" w:hAnsi="Times New Roman" w:cs="Times New Roman"/>
          <w:b/>
          <w:bCs/>
          <w:sz w:val="24"/>
          <w:szCs w:val="24"/>
        </w:rPr>
        <w:t xml:space="preserve">Кристалл </w:t>
      </w:r>
      <w:r w:rsidRPr="00D00400">
        <w:rPr>
          <w:rFonts w:ascii="Times New Roman" w:eastAsia="Calibri" w:hAnsi="Times New Roman" w:cs="Times New Roman"/>
          <w:b/>
          <w:sz w:val="24"/>
          <w:szCs w:val="24"/>
        </w:rPr>
        <w:t xml:space="preserve">× </w:t>
      </w:r>
      <w:proofErr w:type="spellStart"/>
      <w:r w:rsidRPr="00D00400">
        <w:rPr>
          <w:rFonts w:ascii="Times New Roman" w:eastAsia="Calibri" w:hAnsi="Times New Roman" w:cs="Times New Roman"/>
          <w:b/>
          <w:sz w:val="24"/>
          <w:szCs w:val="24"/>
        </w:rPr>
        <w:t>Кобер</w:t>
      </w:r>
      <w:proofErr w:type="spellEnd"/>
      <w:r w:rsidRPr="00D00400">
        <w:rPr>
          <w:rFonts w:ascii="Times New Roman" w:eastAsia="Calibri" w:hAnsi="Times New Roman" w:cs="Times New Roman"/>
          <w:b/>
          <w:sz w:val="24"/>
          <w:szCs w:val="24"/>
        </w:rPr>
        <w:t xml:space="preserve"> 5 ББ, </w:t>
      </w:r>
    </w:p>
    <w:p w:rsidR="00D00400" w:rsidRPr="00D00400" w:rsidRDefault="00D00400" w:rsidP="00D00400">
      <w:pPr>
        <w:spacing w:after="120" w:line="240" w:lineRule="auto"/>
        <w:jc w:val="center"/>
        <w:rPr>
          <w:rFonts w:ascii="Times New Roman" w:eastAsia="Calibri" w:hAnsi="Times New Roman" w:cs="Times New Roman"/>
          <w:b/>
          <w:sz w:val="24"/>
          <w:szCs w:val="24"/>
        </w:rPr>
      </w:pPr>
      <w:r w:rsidRPr="00D00400">
        <w:rPr>
          <w:rFonts w:ascii="Times New Roman" w:eastAsia="Calibri" w:hAnsi="Times New Roman" w:cs="Times New Roman"/>
          <w:b/>
          <w:sz w:val="24"/>
          <w:szCs w:val="24"/>
        </w:rPr>
        <w:t>среднее за 2012–2014 гг.</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275"/>
        <w:gridCol w:w="1532"/>
        <w:gridCol w:w="1303"/>
        <w:gridCol w:w="1647"/>
      </w:tblGrid>
      <w:tr w:rsidR="00D00400" w:rsidRPr="00D00400" w:rsidTr="00D539E6">
        <w:trPr>
          <w:trHeight w:val="584"/>
          <w:jc w:val="center"/>
        </w:trPr>
        <w:tc>
          <w:tcPr>
            <w:tcW w:w="3256"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Варианты опыта</w:t>
            </w:r>
          </w:p>
        </w:tc>
        <w:tc>
          <w:tcPr>
            <w:tcW w:w="1275"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Средний прирост</w:t>
            </w:r>
          </w:p>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 xml:space="preserve"> побега, см</w:t>
            </w:r>
          </w:p>
        </w:tc>
        <w:tc>
          <w:tcPr>
            <w:tcW w:w="1532"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 xml:space="preserve">Среднее </w:t>
            </w:r>
          </w:p>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вызревание</w:t>
            </w:r>
          </w:p>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 xml:space="preserve"> побега, см</w:t>
            </w:r>
          </w:p>
        </w:tc>
        <w:tc>
          <w:tcPr>
            <w:tcW w:w="1303"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Диаметр побега, см</w:t>
            </w:r>
          </w:p>
        </w:tc>
        <w:tc>
          <w:tcPr>
            <w:tcW w:w="1647"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 xml:space="preserve">Площадь листовой </w:t>
            </w:r>
          </w:p>
          <w:p w:rsidR="00D00400" w:rsidRPr="00D00400" w:rsidRDefault="00D00400" w:rsidP="00D00400">
            <w:pPr>
              <w:spacing w:after="0" w:line="216" w:lineRule="auto"/>
              <w:jc w:val="center"/>
              <w:rPr>
                <w:rFonts w:ascii="Times New Roman" w:eastAsia="Calibri" w:hAnsi="Times New Roman" w:cs="Times New Roman"/>
                <w:sz w:val="24"/>
                <w:szCs w:val="24"/>
                <w:vertAlign w:val="superscript"/>
              </w:rPr>
            </w:pPr>
            <w:r w:rsidRPr="00D00400">
              <w:rPr>
                <w:rFonts w:ascii="Times New Roman" w:eastAsia="Calibri" w:hAnsi="Times New Roman" w:cs="Times New Roman"/>
                <w:sz w:val="24"/>
                <w:szCs w:val="24"/>
              </w:rPr>
              <w:t>поверхности, см</w:t>
            </w:r>
            <w:r w:rsidRPr="00D00400">
              <w:rPr>
                <w:rFonts w:ascii="Times New Roman" w:eastAsia="Calibri" w:hAnsi="Times New Roman" w:cs="Times New Roman"/>
                <w:sz w:val="24"/>
                <w:szCs w:val="24"/>
                <w:vertAlign w:val="superscript"/>
              </w:rPr>
              <w:t>2</w:t>
            </w:r>
          </w:p>
        </w:tc>
      </w:tr>
      <w:tr w:rsidR="00D00400" w:rsidRPr="00D00400" w:rsidTr="00D539E6">
        <w:trPr>
          <w:trHeight w:val="194"/>
          <w:jc w:val="center"/>
        </w:trPr>
        <w:tc>
          <w:tcPr>
            <w:tcW w:w="3256" w:type="dxa"/>
            <w:shd w:val="clear" w:color="auto" w:fill="auto"/>
          </w:tcPr>
          <w:p w:rsidR="00D00400" w:rsidRPr="00D00400" w:rsidRDefault="00D00400" w:rsidP="00D00400">
            <w:pPr>
              <w:widowControl w:val="0"/>
              <w:autoSpaceDE w:val="0"/>
              <w:autoSpaceDN w:val="0"/>
              <w:adjustRightInd w:val="0"/>
              <w:spacing w:after="0" w:line="216" w:lineRule="auto"/>
              <w:jc w:val="both"/>
              <w:rPr>
                <w:rFonts w:ascii="Times New Roman" w:eastAsia="Calibri" w:hAnsi="Times New Roman" w:cs="Times New Roman"/>
              </w:rPr>
            </w:pPr>
            <w:r w:rsidRPr="00D00400">
              <w:rPr>
                <w:rFonts w:ascii="Times New Roman" w:eastAsia="Calibri" w:hAnsi="Times New Roman" w:cs="Times New Roman"/>
              </w:rPr>
              <w:t>1. Контроль (без удобрений).</w:t>
            </w:r>
          </w:p>
        </w:tc>
        <w:tc>
          <w:tcPr>
            <w:tcW w:w="1275"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79</w:t>
            </w:r>
          </w:p>
        </w:tc>
        <w:tc>
          <w:tcPr>
            <w:tcW w:w="1532"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35</w:t>
            </w:r>
          </w:p>
        </w:tc>
        <w:tc>
          <w:tcPr>
            <w:tcW w:w="1303"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0,5</w:t>
            </w:r>
          </w:p>
        </w:tc>
        <w:tc>
          <w:tcPr>
            <w:tcW w:w="1647"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1085,03</w:t>
            </w:r>
          </w:p>
        </w:tc>
      </w:tr>
      <w:tr w:rsidR="00D00400" w:rsidRPr="00D00400" w:rsidTr="00D539E6">
        <w:trPr>
          <w:trHeight w:val="194"/>
          <w:jc w:val="center"/>
        </w:trPr>
        <w:tc>
          <w:tcPr>
            <w:tcW w:w="3256" w:type="dxa"/>
            <w:shd w:val="clear" w:color="auto" w:fill="auto"/>
          </w:tcPr>
          <w:p w:rsidR="00D00400" w:rsidRPr="00D00400" w:rsidRDefault="00D00400" w:rsidP="00D00400">
            <w:pPr>
              <w:widowControl w:val="0"/>
              <w:autoSpaceDE w:val="0"/>
              <w:autoSpaceDN w:val="0"/>
              <w:adjustRightInd w:val="0"/>
              <w:spacing w:after="0" w:line="216" w:lineRule="auto"/>
              <w:jc w:val="both"/>
              <w:rPr>
                <w:rFonts w:ascii="Times New Roman" w:eastAsia="Calibri" w:hAnsi="Times New Roman" w:cs="Times New Roman"/>
              </w:rPr>
            </w:pPr>
            <w:r w:rsidRPr="00D00400">
              <w:rPr>
                <w:rFonts w:ascii="Times New Roman" w:eastAsia="Calibri" w:hAnsi="Times New Roman" w:cs="Times New Roman"/>
              </w:rPr>
              <w:t>2. Альбит концентрация 0,02 %.</w:t>
            </w:r>
          </w:p>
        </w:tc>
        <w:tc>
          <w:tcPr>
            <w:tcW w:w="1275"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110</w:t>
            </w:r>
          </w:p>
        </w:tc>
        <w:tc>
          <w:tcPr>
            <w:tcW w:w="1532"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67</w:t>
            </w:r>
          </w:p>
        </w:tc>
        <w:tc>
          <w:tcPr>
            <w:tcW w:w="1303"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0,6</w:t>
            </w:r>
          </w:p>
        </w:tc>
        <w:tc>
          <w:tcPr>
            <w:tcW w:w="1647"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1306,66</w:t>
            </w:r>
          </w:p>
        </w:tc>
      </w:tr>
      <w:tr w:rsidR="00D00400" w:rsidRPr="00D00400" w:rsidTr="00D539E6">
        <w:trPr>
          <w:trHeight w:val="194"/>
          <w:jc w:val="center"/>
        </w:trPr>
        <w:tc>
          <w:tcPr>
            <w:tcW w:w="3256" w:type="dxa"/>
            <w:shd w:val="clear" w:color="auto" w:fill="auto"/>
          </w:tcPr>
          <w:p w:rsidR="00D00400" w:rsidRPr="00D00400" w:rsidRDefault="00D00400" w:rsidP="00D00400">
            <w:pPr>
              <w:widowControl w:val="0"/>
              <w:autoSpaceDE w:val="0"/>
              <w:autoSpaceDN w:val="0"/>
              <w:adjustRightInd w:val="0"/>
              <w:spacing w:after="0" w:line="216" w:lineRule="auto"/>
              <w:jc w:val="both"/>
              <w:rPr>
                <w:rFonts w:ascii="Times New Roman" w:eastAsia="Calibri" w:hAnsi="Times New Roman" w:cs="Times New Roman"/>
              </w:rPr>
            </w:pPr>
            <w:r w:rsidRPr="00D00400">
              <w:rPr>
                <w:rFonts w:ascii="Times New Roman" w:eastAsia="Calibri" w:hAnsi="Times New Roman" w:cs="Times New Roman"/>
              </w:rPr>
              <w:t>3. Альбит концентрация 0,04%.</w:t>
            </w:r>
          </w:p>
        </w:tc>
        <w:tc>
          <w:tcPr>
            <w:tcW w:w="1275"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140</w:t>
            </w:r>
          </w:p>
        </w:tc>
        <w:tc>
          <w:tcPr>
            <w:tcW w:w="1532"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84</w:t>
            </w:r>
          </w:p>
        </w:tc>
        <w:tc>
          <w:tcPr>
            <w:tcW w:w="1303"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0,7</w:t>
            </w:r>
          </w:p>
        </w:tc>
        <w:tc>
          <w:tcPr>
            <w:tcW w:w="1647"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1936,53</w:t>
            </w:r>
          </w:p>
        </w:tc>
      </w:tr>
      <w:tr w:rsidR="00D00400" w:rsidRPr="00D00400" w:rsidTr="00D539E6">
        <w:trPr>
          <w:trHeight w:val="194"/>
          <w:jc w:val="center"/>
        </w:trPr>
        <w:tc>
          <w:tcPr>
            <w:tcW w:w="3256" w:type="dxa"/>
            <w:shd w:val="clear" w:color="auto" w:fill="auto"/>
          </w:tcPr>
          <w:p w:rsidR="00D00400" w:rsidRPr="00D00400" w:rsidRDefault="00D00400" w:rsidP="00D00400">
            <w:pPr>
              <w:widowControl w:val="0"/>
              <w:autoSpaceDE w:val="0"/>
              <w:autoSpaceDN w:val="0"/>
              <w:adjustRightInd w:val="0"/>
              <w:spacing w:after="0" w:line="216" w:lineRule="auto"/>
              <w:jc w:val="both"/>
              <w:rPr>
                <w:rFonts w:ascii="Times New Roman" w:eastAsia="Calibri" w:hAnsi="Times New Roman" w:cs="Times New Roman"/>
              </w:rPr>
            </w:pPr>
            <w:r w:rsidRPr="00D00400">
              <w:rPr>
                <w:rFonts w:ascii="Times New Roman" w:eastAsia="Calibri" w:hAnsi="Times New Roman" w:cs="Times New Roman"/>
              </w:rPr>
              <w:t>4. Альбит концентрация 0,06 %.</w:t>
            </w:r>
          </w:p>
        </w:tc>
        <w:tc>
          <w:tcPr>
            <w:tcW w:w="1275"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118</w:t>
            </w:r>
          </w:p>
        </w:tc>
        <w:tc>
          <w:tcPr>
            <w:tcW w:w="1532"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71</w:t>
            </w:r>
          </w:p>
        </w:tc>
        <w:tc>
          <w:tcPr>
            <w:tcW w:w="1303"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0,6</w:t>
            </w:r>
          </w:p>
        </w:tc>
        <w:tc>
          <w:tcPr>
            <w:tcW w:w="1647"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1643,22</w:t>
            </w:r>
          </w:p>
        </w:tc>
      </w:tr>
      <w:tr w:rsidR="00D00400" w:rsidRPr="00D00400" w:rsidTr="00D539E6">
        <w:trPr>
          <w:trHeight w:val="181"/>
          <w:jc w:val="center"/>
        </w:trPr>
        <w:tc>
          <w:tcPr>
            <w:tcW w:w="3256" w:type="dxa"/>
            <w:shd w:val="clear" w:color="auto" w:fill="auto"/>
          </w:tcPr>
          <w:p w:rsidR="00D00400" w:rsidRPr="00D00400" w:rsidRDefault="00D00400" w:rsidP="00D00400">
            <w:pPr>
              <w:widowControl w:val="0"/>
              <w:autoSpaceDE w:val="0"/>
              <w:autoSpaceDN w:val="0"/>
              <w:adjustRightInd w:val="0"/>
              <w:spacing w:after="0" w:line="216" w:lineRule="auto"/>
              <w:jc w:val="both"/>
              <w:rPr>
                <w:rFonts w:ascii="Times New Roman" w:eastAsia="Calibri" w:hAnsi="Times New Roman" w:cs="Times New Roman"/>
              </w:rPr>
            </w:pPr>
            <w:r w:rsidRPr="00D00400">
              <w:rPr>
                <w:rFonts w:ascii="Times New Roman" w:eastAsia="Calibri" w:hAnsi="Times New Roman" w:cs="Times New Roman"/>
              </w:rPr>
              <w:t>5. Альбит концентрация 0,08 %.</w:t>
            </w:r>
          </w:p>
        </w:tc>
        <w:tc>
          <w:tcPr>
            <w:tcW w:w="1275"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116</w:t>
            </w:r>
          </w:p>
        </w:tc>
        <w:tc>
          <w:tcPr>
            <w:tcW w:w="1532"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69</w:t>
            </w:r>
          </w:p>
        </w:tc>
        <w:tc>
          <w:tcPr>
            <w:tcW w:w="1303"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0,6</w:t>
            </w:r>
          </w:p>
        </w:tc>
        <w:tc>
          <w:tcPr>
            <w:tcW w:w="1647"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1618,42</w:t>
            </w:r>
          </w:p>
        </w:tc>
      </w:tr>
      <w:tr w:rsidR="00D00400" w:rsidRPr="00D00400" w:rsidTr="00D539E6">
        <w:trPr>
          <w:trHeight w:val="194"/>
          <w:jc w:val="center"/>
        </w:trPr>
        <w:tc>
          <w:tcPr>
            <w:tcW w:w="3256" w:type="dxa"/>
            <w:shd w:val="clear" w:color="auto" w:fill="auto"/>
          </w:tcPr>
          <w:p w:rsidR="00D00400" w:rsidRPr="00D00400" w:rsidRDefault="00D00400" w:rsidP="00D00400">
            <w:pPr>
              <w:widowControl w:val="0"/>
              <w:autoSpaceDE w:val="0"/>
              <w:autoSpaceDN w:val="0"/>
              <w:adjustRightInd w:val="0"/>
              <w:spacing w:after="0" w:line="216" w:lineRule="auto"/>
              <w:jc w:val="both"/>
              <w:rPr>
                <w:rFonts w:ascii="Times New Roman" w:eastAsia="Calibri" w:hAnsi="Times New Roman" w:cs="Times New Roman"/>
              </w:rPr>
            </w:pPr>
            <w:r w:rsidRPr="00D00400">
              <w:rPr>
                <w:rFonts w:ascii="Times New Roman" w:eastAsia="Calibri" w:hAnsi="Times New Roman" w:cs="Times New Roman"/>
              </w:rPr>
              <w:t>6. Альбит концентрация 0,10 %.</w:t>
            </w:r>
          </w:p>
        </w:tc>
        <w:tc>
          <w:tcPr>
            <w:tcW w:w="1275"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125</w:t>
            </w:r>
          </w:p>
        </w:tc>
        <w:tc>
          <w:tcPr>
            <w:tcW w:w="1532"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75</w:t>
            </w:r>
          </w:p>
        </w:tc>
        <w:tc>
          <w:tcPr>
            <w:tcW w:w="1303"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0,7</w:t>
            </w:r>
          </w:p>
        </w:tc>
        <w:tc>
          <w:tcPr>
            <w:tcW w:w="1647" w:type="dxa"/>
            <w:shd w:val="clear" w:color="auto" w:fill="auto"/>
            <w:vAlign w:val="center"/>
          </w:tcPr>
          <w:p w:rsidR="00D00400" w:rsidRPr="00D00400" w:rsidRDefault="00D00400" w:rsidP="00D00400">
            <w:pPr>
              <w:spacing w:after="0" w:line="216"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1705,51</w:t>
            </w:r>
          </w:p>
        </w:tc>
      </w:tr>
    </w:tbl>
    <w:p w:rsidR="00D00400" w:rsidRPr="00D00400" w:rsidRDefault="00D00400" w:rsidP="00D00400">
      <w:pPr>
        <w:shd w:val="clear" w:color="auto" w:fill="FFFFFF"/>
        <w:autoSpaceDE w:val="0"/>
        <w:autoSpaceDN w:val="0"/>
        <w:adjustRightInd w:val="0"/>
        <w:spacing w:before="240"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Лучшее нарастание площади листьев отмечены при внекорневой подкормке препаратом Альбит концентрацией 0,04 % – 1936,53 см</w:t>
      </w:r>
      <w:r w:rsidRPr="00D00400">
        <w:rPr>
          <w:rFonts w:ascii="Times New Roman" w:eastAsia="Calibri" w:hAnsi="Times New Roman" w:cs="Times New Roman"/>
          <w:sz w:val="30"/>
          <w:szCs w:val="30"/>
          <w:vertAlign w:val="superscript"/>
        </w:rPr>
        <w:t>2</w:t>
      </w:r>
      <w:r w:rsidRPr="00D00400">
        <w:rPr>
          <w:rFonts w:ascii="Times New Roman" w:eastAsia="Calibri" w:hAnsi="Times New Roman" w:cs="Times New Roman"/>
          <w:sz w:val="30"/>
          <w:szCs w:val="30"/>
        </w:rPr>
        <w:t xml:space="preserve">. Эта подкормка обеспечивает более активный рост побегов, накопление </w:t>
      </w:r>
      <w:proofErr w:type="spellStart"/>
      <w:r w:rsidRPr="00D00400">
        <w:rPr>
          <w:rFonts w:ascii="Times New Roman" w:eastAsia="Calibri" w:hAnsi="Times New Roman" w:cs="Times New Roman"/>
          <w:sz w:val="30"/>
          <w:szCs w:val="30"/>
        </w:rPr>
        <w:t>фитомассы</w:t>
      </w:r>
      <w:proofErr w:type="spellEnd"/>
      <w:r w:rsidRPr="00D00400">
        <w:rPr>
          <w:rFonts w:ascii="Times New Roman" w:eastAsia="Calibri" w:hAnsi="Times New Roman" w:cs="Times New Roman"/>
          <w:sz w:val="30"/>
          <w:szCs w:val="30"/>
        </w:rPr>
        <w:t xml:space="preserve"> ассимиляционным аппаратом. Самая низкая интенсивность нарастания листьев наблюдалась в контрольном варианте без обработки удобрений – 1085,03 см</w:t>
      </w:r>
      <w:r w:rsidRPr="00D00400">
        <w:rPr>
          <w:rFonts w:ascii="Times New Roman" w:eastAsia="Calibri" w:hAnsi="Times New Roman" w:cs="Times New Roman"/>
          <w:sz w:val="30"/>
          <w:szCs w:val="30"/>
          <w:vertAlign w:val="superscript"/>
        </w:rPr>
        <w:t>2</w:t>
      </w:r>
      <w:r w:rsidRPr="00D00400">
        <w:rPr>
          <w:rFonts w:ascii="Times New Roman" w:eastAsia="Calibri" w:hAnsi="Times New Roman" w:cs="Times New Roman"/>
          <w:sz w:val="30"/>
          <w:szCs w:val="30"/>
        </w:rPr>
        <w:t>.</w:t>
      </w:r>
    </w:p>
    <w:p w:rsidR="00D00400" w:rsidRPr="00D00400" w:rsidRDefault="00D00400" w:rsidP="00D00400">
      <w:pPr>
        <w:tabs>
          <w:tab w:val="left" w:pos="2934"/>
        </w:tabs>
        <w:spacing w:after="24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По окончании периода вегетации полученные саженцы были выкопаны и отсортированы согласно ГОСТ 28181-89 «Саженцы винограда» [5].</w:t>
      </w:r>
    </w:p>
    <w:p w:rsidR="00D00400" w:rsidRPr="00D00400" w:rsidRDefault="00D00400" w:rsidP="00D00400">
      <w:pPr>
        <w:spacing w:after="0" w:line="360" w:lineRule="auto"/>
        <w:jc w:val="both"/>
        <w:rPr>
          <w:rFonts w:ascii="Times New Roman" w:eastAsia="Calibri" w:hAnsi="Times New Roman" w:cs="Times New Roman"/>
          <w:sz w:val="28"/>
          <w:szCs w:val="28"/>
        </w:rPr>
      </w:pPr>
      <w:r w:rsidRPr="00D00400">
        <w:rPr>
          <w:rFonts w:ascii="Times New Roman" w:eastAsia="Calibri" w:hAnsi="Times New Roman" w:cs="Times New Roman"/>
          <w:noProof/>
          <w:sz w:val="28"/>
          <w:szCs w:val="28"/>
          <w:lang w:eastAsia="ru-RU"/>
        </w:rPr>
        <w:lastRenderedPageBreak/>
        <w:drawing>
          <wp:inline distT="0" distB="0" distL="0" distR="0">
            <wp:extent cx="5724525" cy="253365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00400" w:rsidRPr="00D00400" w:rsidRDefault="00D00400" w:rsidP="00D00400">
      <w:pPr>
        <w:spacing w:after="0" w:line="240" w:lineRule="auto"/>
        <w:jc w:val="center"/>
        <w:rPr>
          <w:rFonts w:ascii="Times New Roman" w:eastAsia="Calibri" w:hAnsi="Times New Roman" w:cs="Times New Roman"/>
          <w:b/>
          <w:sz w:val="24"/>
          <w:szCs w:val="24"/>
        </w:rPr>
      </w:pPr>
      <w:r w:rsidRPr="00D00400">
        <w:rPr>
          <w:rFonts w:ascii="Times New Roman" w:eastAsia="Calibri" w:hAnsi="Times New Roman" w:cs="Times New Roman"/>
          <w:b/>
          <w:sz w:val="24"/>
          <w:szCs w:val="24"/>
        </w:rPr>
        <w:t xml:space="preserve">Рис. Воздействие применения удобрения Альбит различных концентраций на выход привитых саженцев винограда сорта Кристалл × </w:t>
      </w:r>
      <w:proofErr w:type="spellStart"/>
      <w:r w:rsidRPr="00D00400">
        <w:rPr>
          <w:rFonts w:ascii="Times New Roman" w:eastAsia="Calibri" w:hAnsi="Times New Roman" w:cs="Times New Roman"/>
          <w:b/>
          <w:sz w:val="24"/>
          <w:szCs w:val="24"/>
        </w:rPr>
        <w:t>Кобер</w:t>
      </w:r>
      <w:proofErr w:type="spellEnd"/>
      <w:r w:rsidRPr="00D00400">
        <w:rPr>
          <w:rFonts w:ascii="Times New Roman" w:eastAsia="Calibri" w:hAnsi="Times New Roman" w:cs="Times New Roman"/>
          <w:b/>
          <w:sz w:val="24"/>
          <w:szCs w:val="24"/>
        </w:rPr>
        <w:t xml:space="preserve"> 5 ББ из школки, </w:t>
      </w:r>
    </w:p>
    <w:p w:rsidR="00D00400" w:rsidRPr="00D00400" w:rsidRDefault="00D00400" w:rsidP="00D00400">
      <w:pPr>
        <w:spacing w:after="0" w:line="240" w:lineRule="auto"/>
        <w:jc w:val="center"/>
        <w:rPr>
          <w:rFonts w:ascii="Times New Roman" w:eastAsia="Calibri" w:hAnsi="Times New Roman" w:cs="Times New Roman"/>
          <w:b/>
          <w:sz w:val="24"/>
          <w:szCs w:val="24"/>
        </w:rPr>
      </w:pPr>
      <w:r w:rsidRPr="00D00400">
        <w:rPr>
          <w:rFonts w:ascii="Times New Roman" w:eastAsia="Calibri" w:hAnsi="Times New Roman" w:cs="Times New Roman"/>
          <w:b/>
          <w:sz w:val="24"/>
          <w:szCs w:val="24"/>
        </w:rPr>
        <w:t>среднее за 2012–2014 гг.</w:t>
      </w:r>
    </w:p>
    <w:p w:rsidR="00D00400" w:rsidRPr="00D00400" w:rsidRDefault="00D00400" w:rsidP="00D00400">
      <w:pPr>
        <w:spacing w:before="240"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sz w:val="30"/>
          <w:szCs w:val="30"/>
        </w:rPr>
        <w:t>При анализе данных по выходу привитых саженцев из школки относительно сделанных прививок установлено, что наиболее эффективными вариантами опыта являются V концентрация 0,08 % – 55,6 % и VI концентрация 0,10 % – 61,1 % (рис.).</w:t>
      </w:r>
    </w:p>
    <w:p w:rsidR="00D00400" w:rsidRPr="00D00400" w:rsidRDefault="00D00400" w:rsidP="00D00400">
      <w:pPr>
        <w:spacing w:after="0" w:line="240" w:lineRule="auto"/>
        <w:ind w:firstLine="709"/>
        <w:jc w:val="both"/>
        <w:rPr>
          <w:rFonts w:ascii="Times New Roman" w:eastAsia="Calibri" w:hAnsi="Times New Roman" w:cs="Times New Roman"/>
          <w:sz w:val="30"/>
          <w:szCs w:val="30"/>
        </w:rPr>
      </w:pPr>
      <w:r w:rsidRPr="00D00400">
        <w:rPr>
          <w:rFonts w:ascii="Times New Roman" w:eastAsia="Calibri" w:hAnsi="Times New Roman" w:cs="Times New Roman"/>
          <w:b/>
          <w:sz w:val="30"/>
          <w:szCs w:val="30"/>
        </w:rPr>
        <w:t>Выводы.</w:t>
      </w:r>
      <w:r w:rsidRPr="00D00400">
        <w:rPr>
          <w:rFonts w:ascii="Times New Roman" w:eastAsia="Calibri" w:hAnsi="Times New Roman" w:cs="Times New Roman"/>
          <w:sz w:val="30"/>
          <w:szCs w:val="30"/>
        </w:rPr>
        <w:t xml:space="preserve"> В результате выполненных исследований можно отметить, что удобрение Альбит заслуживает внимания. Полученные результаты показали, что применение препарата Альбит в </w:t>
      </w:r>
      <w:proofErr w:type="spellStart"/>
      <w:r w:rsidRPr="00D00400">
        <w:rPr>
          <w:rFonts w:ascii="Times New Roman" w:eastAsia="Calibri" w:hAnsi="Times New Roman" w:cs="Times New Roman"/>
          <w:sz w:val="30"/>
          <w:szCs w:val="30"/>
        </w:rPr>
        <w:t>стратификационной</w:t>
      </w:r>
      <w:proofErr w:type="spellEnd"/>
      <w:r w:rsidRPr="00D00400">
        <w:rPr>
          <w:rFonts w:ascii="Times New Roman" w:eastAsia="Calibri" w:hAnsi="Times New Roman" w:cs="Times New Roman"/>
          <w:sz w:val="30"/>
          <w:szCs w:val="30"/>
        </w:rPr>
        <w:t xml:space="preserve"> камере и школке положительное. При этом эффективность внекорневых подкормок этим препаратом зависит от концентрации, которым обрабатываются саженцы винограда, чем выше концентрация, тем больше выход стандартных саженцев. Обработка привитых саженцев винограда удобрением Альбит значительно стимулирует рост побегов, развитие листовой поверхности растений и качество посадочного материала.</w:t>
      </w:r>
    </w:p>
    <w:p w:rsidR="00D00400" w:rsidRPr="00D00400" w:rsidRDefault="00D00400" w:rsidP="00D00400">
      <w:pPr>
        <w:tabs>
          <w:tab w:val="center" w:pos="5173"/>
          <w:tab w:val="left" w:pos="6521"/>
        </w:tabs>
        <w:spacing w:before="240" w:after="120" w:line="240" w:lineRule="auto"/>
        <w:jc w:val="center"/>
        <w:rPr>
          <w:rFonts w:ascii="Times New Roman" w:eastAsia="Calibri" w:hAnsi="Times New Roman" w:cs="Times New Roman"/>
          <w:sz w:val="24"/>
          <w:szCs w:val="24"/>
        </w:rPr>
      </w:pPr>
      <w:r w:rsidRPr="00D00400">
        <w:rPr>
          <w:rFonts w:ascii="Times New Roman" w:eastAsia="Calibri" w:hAnsi="Times New Roman" w:cs="Times New Roman"/>
          <w:sz w:val="24"/>
          <w:szCs w:val="24"/>
        </w:rPr>
        <w:t>Литература</w:t>
      </w:r>
    </w:p>
    <w:p w:rsidR="00D00400" w:rsidRPr="00D00400" w:rsidRDefault="00D00400" w:rsidP="00D00400">
      <w:pPr>
        <w:numPr>
          <w:ilvl w:val="0"/>
          <w:numId w:val="3"/>
        </w:numPr>
        <w:tabs>
          <w:tab w:val="center" w:pos="0"/>
        </w:tabs>
        <w:spacing w:after="0" w:line="240" w:lineRule="auto"/>
        <w:ind w:firstLine="426"/>
        <w:jc w:val="both"/>
        <w:rPr>
          <w:rFonts w:ascii="Times New Roman" w:eastAsia="Calibri" w:hAnsi="Times New Roman" w:cs="Times New Roman"/>
          <w:sz w:val="24"/>
          <w:szCs w:val="24"/>
        </w:rPr>
      </w:pPr>
      <w:r w:rsidRPr="00D00400">
        <w:rPr>
          <w:rFonts w:ascii="Times New Roman" w:eastAsia="Calibri" w:hAnsi="Times New Roman" w:cs="Times New Roman"/>
          <w:sz w:val="24"/>
          <w:szCs w:val="24"/>
        </w:rPr>
        <w:t xml:space="preserve">Малых, Г.П. Влияние некорневой подкормки виноградных кустов сорта Кристалл на рост, развитие и продуктивность насаждений / Г.П. Малых, А.С. </w:t>
      </w:r>
      <w:proofErr w:type="spellStart"/>
      <w:r w:rsidRPr="00D00400">
        <w:rPr>
          <w:rFonts w:ascii="Times New Roman" w:eastAsia="Calibri" w:hAnsi="Times New Roman" w:cs="Times New Roman"/>
          <w:sz w:val="24"/>
          <w:szCs w:val="24"/>
        </w:rPr>
        <w:t>Магомадов</w:t>
      </w:r>
      <w:proofErr w:type="spellEnd"/>
      <w:r w:rsidRPr="00D00400">
        <w:rPr>
          <w:rFonts w:ascii="Times New Roman" w:eastAsia="Calibri" w:hAnsi="Times New Roman" w:cs="Times New Roman"/>
          <w:sz w:val="24"/>
          <w:szCs w:val="24"/>
        </w:rPr>
        <w:t xml:space="preserve"> // Виноделие и виноградарство. – 2013. – № 1. – С. 44–45.</w:t>
      </w:r>
    </w:p>
    <w:p w:rsidR="00D00400" w:rsidRPr="00D00400" w:rsidRDefault="00D00400" w:rsidP="00D00400">
      <w:pPr>
        <w:numPr>
          <w:ilvl w:val="0"/>
          <w:numId w:val="3"/>
        </w:numPr>
        <w:tabs>
          <w:tab w:val="center" w:pos="0"/>
        </w:tabs>
        <w:spacing w:after="0" w:line="240" w:lineRule="auto"/>
        <w:ind w:firstLine="426"/>
        <w:jc w:val="both"/>
        <w:rPr>
          <w:rFonts w:ascii="Times New Roman" w:eastAsia="Calibri" w:hAnsi="Times New Roman" w:cs="Times New Roman"/>
          <w:sz w:val="24"/>
          <w:szCs w:val="24"/>
        </w:rPr>
      </w:pPr>
      <w:proofErr w:type="spellStart"/>
      <w:r w:rsidRPr="00D00400">
        <w:rPr>
          <w:rFonts w:ascii="Times New Roman" w:eastAsia="Calibri" w:hAnsi="Times New Roman" w:cs="Times New Roman"/>
          <w:sz w:val="24"/>
          <w:szCs w:val="24"/>
        </w:rPr>
        <w:t>Малтабар</w:t>
      </w:r>
      <w:proofErr w:type="spellEnd"/>
      <w:r w:rsidRPr="00D00400">
        <w:rPr>
          <w:rFonts w:ascii="Times New Roman" w:eastAsia="Calibri" w:hAnsi="Times New Roman" w:cs="Times New Roman"/>
          <w:sz w:val="24"/>
          <w:szCs w:val="24"/>
        </w:rPr>
        <w:t xml:space="preserve">, Л.М. Комплексные микроудобрения в виноградарстве / Л.М. </w:t>
      </w:r>
      <w:proofErr w:type="spellStart"/>
      <w:r w:rsidRPr="00D00400">
        <w:rPr>
          <w:rFonts w:ascii="Times New Roman" w:eastAsia="Calibri" w:hAnsi="Times New Roman" w:cs="Times New Roman"/>
          <w:sz w:val="24"/>
          <w:szCs w:val="24"/>
        </w:rPr>
        <w:t>Малтабар</w:t>
      </w:r>
      <w:proofErr w:type="spellEnd"/>
      <w:r w:rsidRPr="00D00400">
        <w:rPr>
          <w:rFonts w:ascii="Times New Roman" w:eastAsia="Calibri" w:hAnsi="Times New Roman" w:cs="Times New Roman"/>
          <w:sz w:val="24"/>
          <w:szCs w:val="24"/>
        </w:rPr>
        <w:t xml:space="preserve">, И. Шабанова, Н. </w:t>
      </w:r>
      <w:proofErr w:type="spellStart"/>
      <w:r w:rsidRPr="00D00400">
        <w:rPr>
          <w:rFonts w:ascii="Times New Roman" w:eastAsia="Calibri" w:hAnsi="Times New Roman" w:cs="Times New Roman"/>
          <w:sz w:val="24"/>
          <w:szCs w:val="24"/>
        </w:rPr>
        <w:t>Гайдукава</w:t>
      </w:r>
      <w:proofErr w:type="spellEnd"/>
      <w:r w:rsidRPr="00D00400">
        <w:rPr>
          <w:rFonts w:ascii="Times New Roman" w:eastAsia="Calibri" w:hAnsi="Times New Roman" w:cs="Times New Roman"/>
          <w:sz w:val="24"/>
          <w:szCs w:val="24"/>
        </w:rPr>
        <w:t xml:space="preserve"> // Главный агроном. </w:t>
      </w:r>
      <w:r w:rsidRPr="00D00400">
        <w:rPr>
          <w:rFonts w:ascii="Calibri" w:eastAsia="Calibri" w:hAnsi="Calibri" w:cs="Times New Roman"/>
          <w:sz w:val="24"/>
          <w:szCs w:val="24"/>
        </w:rPr>
        <w:t xml:space="preserve">– </w:t>
      </w:r>
      <w:r w:rsidRPr="00D00400">
        <w:rPr>
          <w:rFonts w:ascii="Times New Roman" w:eastAsia="Calibri" w:hAnsi="Times New Roman" w:cs="Times New Roman"/>
          <w:sz w:val="24"/>
          <w:szCs w:val="24"/>
        </w:rPr>
        <w:t xml:space="preserve">2008. – № 11. </w:t>
      </w:r>
      <w:r w:rsidRPr="00D00400">
        <w:rPr>
          <w:rFonts w:ascii="Calibri" w:eastAsia="Calibri" w:hAnsi="Calibri" w:cs="Times New Roman"/>
          <w:sz w:val="24"/>
          <w:szCs w:val="24"/>
        </w:rPr>
        <w:t xml:space="preserve">– </w:t>
      </w:r>
      <w:r w:rsidRPr="00D00400">
        <w:rPr>
          <w:rFonts w:ascii="Times New Roman" w:eastAsia="Calibri" w:hAnsi="Times New Roman" w:cs="Times New Roman"/>
          <w:sz w:val="24"/>
          <w:szCs w:val="24"/>
        </w:rPr>
        <w:t>С. 45-48.</w:t>
      </w:r>
    </w:p>
    <w:p w:rsidR="00D00400" w:rsidRPr="00D00400" w:rsidRDefault="00D00400" w:rsidP="00D00400">
      <w:pPr>
        <w:numPr>
          <w:ilvl w:val="0"/>
          <w:numId w:val="3"/>
        </w:numPr>
        <w:tabs>
          <w:tab w:val="center" w:pos="0"/>
        </w:tabs>
        <w:spacing w:after="0" w:line="240" w:lineRule="auto"/>
        <w:ind w:firstLine="426"/>
        <w:jc w:val="both"/>
        <w:rPr>
          <w:rFonts w:ascii="Times New Roman" w:eastAsia="Calibri" w:hAnsi="Times New Roman" w:cs="Times New Roman"/>
          <w:color w:val="FF0000"/>
          <w:sz w:val="24"/>
          <w:szCs w:val="24"/>
        </w:rPr>
      </w:pPr>
      <w:r w:rsidRPr="00D00400">
        <w:rPr>
          <w:rFonts w:ascii="Times New Roman" w:eastAsia="Calibri" w:hAnsi="Times New Roman" w:cs="Times New Roman"/>
          <w:sz w:val="24"/>
          <w:szCs w:val="24"/>
        </w:rPr>
        <w:t>Доспехов, Б.А. Методика полевого опыта. – М.: Колос, 1973. – 336 с.</w:t>
      </w:r>
    </w:p>
    <w:p w:rsidR="00D00400" w:rsidRPr="00D00400" w:rsidRDefault="00D00400" w:rsidP="00D00400">
      <w:pPr>
        <w:numPr>
          <w:ilvl w:val="0"/>
          <w:numId w:val="3"/>
        </w:numPr>
        <w:tabs>
          <w:tab w:val="center" w:pos="0"/>
        </w:tabs>
        <w:spacing w:after="0" w:line="240" w:lineRule="auto"/>
        <w:ind w:firstLine="426"/>
        <w:jc w:val="both"/>
        <w:rPr>
          <w:rFonts w:ascii="Times New Roman" w:eastAsia="Calibri" w:hAnsi="Times New Roman" w:cs="Times New Roman"/>
          <w:color w:val="FF0000"/>
          <w:sz w:val="24"/>
          <w:szCs w:val="24"/>
        </w:rPr>
      </w:pPr>
      <w:r w:rsidRPr="00D00400">
        <w:rPr>
          <w:rFonts w:ascii="Times New Roman" w:eastAsia="Calibri" w:hAnsi="Times New Roman" w:cs="Times New Roman"/>
          <w:sz w:val="24"/>
          <w:szCs w:val="24"/>
        </w:rPr>
        <w:t xml:space="preserve">Мельник, С.А. </w:t>
      </w:r>
      <w:proofErr w:type="spellStart"/>
      <w:r w:rsidRPr="00D00400">
        <w:rPr>
          <w:rFonts w:ascii="Times New Roman" w:eastAsia="Calibri" w:hAnsi="Times New Roman" w:cs="Times New Roman"/>
          <w:sz w:val="24"/>
          <w:szCs w:val="24"/>
        </w:rPr>
        <w:t>Ампелографический</w:t>
      </w:r>
      <w:proofErr w:type="spellEnd"/>
      <w:r w:rsidRPr="00D00400">
        <w:rPr>
          <w:rFonts w:ascii="Times New Roman" w:eastAsia="Calibri" w:hAnsi="Times New Roman" w:cs="Times New Roman"/>
          <w:sz w:val="24"/>
          <w:szCs w:val="24"/>
        </w:rPr>
        <w:t xml:space="preserve"> метод определения площади листовой поверхности виноградного куста / С.А. Мельник, В.И. </w:t>
      </w:r>
      <w:proofErr w:type="spellStart"/>
      <w:r w:rsidRPr="00D00400">
        <w:rPr>
          <w:rFonts w:ascii="Times New Roman" w:eastAsia="Calibri" w:hAnsi="Times New Roman" w:cs="Times New Roman"/>
          <w:sz w:val="24"/>
          <w:szCs w:val="24"/>
        </w:rPr>
        <w:t>Щигловская</w:t>
      </w:r>
      <w:proofErr w:type="spellEnd"/>
      <w:r w:rsidRPr="00D00400">
        <w:rPr>
          <w:rFonts w:ascii="Times New Roman" w:eastAsia="Calibri" w:hAnsi="Times New Roman" w:cs="Times New Roman"/>
          <w:sz w:val="24"/>
          <w:szCs w:val="24"/>
        </w:rPr>
        <w:t xml:space="preserve"> // Труды Одесского СХИ. – 1951. –Т. 8, ч. 1. – С. 82–88.</w:t>
      </w:r>
    </w:p>
    <w:p w:rsidR="00FD7B51" w:rsidRPr="00D00400" w:rsidRDefault="00D00400" w:rsidP="00D00400">
      <w:pPr>
        <w:numPr>
          <w:ilvl w:val="0"/>
          <w:numId w:val="3"/>
        </w:numPr>
        <w:tabs>
          <w:tab w:val="center" w:pos="0"/>
        </w:tabs>
        <w:spacing w:after="0" w:line="240" w:lineRule="auto"/>
        <w:ind w:firstLine="426"/>
        <w:jc w:val="both"/>
        <w:rPr>
          <w:rFonts w:ascii="Times New Roman" w:eastAsia="Calibri" w:hAnsi="Times New Roman" w:cs="Times New Roman"/>
          <w:color w:val="FF0000"/>
          <w:sz w:val="24"/>
          <w:szCs w:val="24"/>
        </w:rPr>
      </w:pPr>
      <w:r w:rsidRPr="00D00400">
        <w:rPr>
          <w:rFonts w:ascii="Times New Roman" w:eastAsia="Calibri" w:hAnsi="Times New Roman" w:cs="Times New Roman"/>
          <w:sz w:val="24"/>
          <w:szCs w:val="24"/>
        </w:rPr>
        <w:t xml:space="preserve">ГОСТ 28181-89 Черенки винограда. Технические условия – М.: Гос. Комитет СССР по стандартам, 1989, – 12 с. </w:t>
      </w:r>
      <w:bookmarkStart w:id="0" w:name="_GoBack"/>
      <w:bookmarkEnd w:id="0"/>
    </w:p>
    <w:sectPr w:rsidR="00FD7B51" w:rsidRPr="00D00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64B1E"/>
    <w:multiLevelType w:val="hybridMultilevel"/>
    <w:tmpl w:val="03F63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D547E4"/>
    <w:multiLevelType w:val="hybridMultilevel"/>
    <w:tmpl w:val="28DA93CC"/>
    <w:lvl w:ilvl="0" w:tplc="8D661D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0DF51C2"/>
    <w:multiLevelType w:val="hybridMultilevel"/>
    <w:tmpl w:val="9B7EB07E"/>
    <w:lvl w:ilvl="0" w:tplc="5710963A">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81"/>
    <w:rsid w:val="003753AF"/>
    <w:rsid w:val="00383CCC"/>
    <w:rsid w:val="00527409"/>
    <w:rsid w:val="0079758E"/>
    <w:rsid w:val="00803F81"/>
    <w:rsid w:val="00D00400"/>
    <w:rsid w:val="00FD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55776-AC9F-45BB-A25F-5576A335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wine@yandex.ru" TargetMode="External"/><Relationship Id="rId5" Type="http://schemas.openxmlformats.org/officeDocument/2006/relationships/hyperlink" Target="mailto:ruswine@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40033488374501"/>
          <c:y val="7.394727035587853E-2"/>
          <c:w val="0.86900342324168289"/>
          <c:h val="0.39750336653285268"/>
        </c:manualLayout>
      </c:layout>
      <c:barChart>
        <c:barDir val="col"/>
        <c:grouping val="clustered"/>
        <c:varyColors val="0"/>
        <c:ser>
          <c:idx val="0"/>
          <c:order val="0"/>
          <c:tx>
            <c:strRef>
              <c:f>Лист1!$B$1</c:f>
              <c:strCache>
                <c:ptCount val="1"/>
                <c:pt idx="0">
                  <c:v>контроль</c:v>
                </c:pt>
              </c:strCache>
            </c:strRef>
          </c:tx>
          <c:spPr>
            <a:solidFill>
              <a:srgbClr val="2F35AF"/>
            </a:solidFill>
          </c:spPr>
          <c:invertIfNegative val="0"/>
          <c:dLbls>
            <c:spPr>
              <a:noFill/>
              <a:ln w="25399">
                <a:noFill/>
              </a:ln>
            </c:spPr>
            <c:txPr>
              <a:bodyPr/>
              <a:lstStyle/>
              <a:p>
                <a:pPr>
                  <a:defRPr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контроль</c:v>
                </c:pt>
                <c:pt idx="1">
                  <c:v>0,02%</c:v>
                </c:pt>
                <c:pt idx="2">
                  <c:v>0,04%</c:v>
                </c:pt>
                <c:pt idx="3">
                  <c:v>0,06%</c:v>
                </c:pt>
                <c:pt idx="4">
                  <c:v>0,08%</c:v>
                </c:pt>
                <c:pt idx="5">
                  <c:v>0,10%</c:v>
                </c:pt>
              </c:strCache>
            </c:strRef>
          </c:cat>
          <c:val>
            <c:numRef>
              <c:f>Лист1!$B$2:$B$7</c:f>
              <c:numCache>
                <c:formatCode>General</c:formatCode>
                <c:ptCount val="6"/>
                <c:pt idx="0">
                  <c:v>43.3</c:v>
                </c:pt>
              </c:numCache>
            </c:numRef>
          </c:val>
        </c:ser>
        <c:ser>
          <c:idx val="1"/>
          <c:order val="1"/>
          <c:tx>
            <c:strRef>
              <c:f>Лист1!$C$1</c:f>
              <c:strCache>
                <c:ptCount val="1"/>
                <c:pt idx="0">
                  <c:v>альбит 0,02%</c:v>
                </c:pt>
              </c:strCache>
            </c:strRef>
          </c:tx>
          <c:spPr>
            <a:solidFill>
              <a:srgbClr val="FF0000"/>
            </a:solidFill>
          </c:spPr>
          <c:invertIfNegative val="0"/>
          <c:dLbls>
            <c:spPr>
              <a:noFill/>
              <a:ln w="25399">
                <a:noFill/>
              </a:ln>
            </c:spPr>
            <c:txPr>
              <a:bodyPr/>
              <a:lstStyle/>
              <a:p>
                <a:pPr>
                  <a:defRPr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контроль</c:v>
                </c:pt>
                <c:pt idx="1">
                  <c:v>0,02%</c:v>
                </c:pt>
                <c:pt idx="2">
                  <c:v>0,04%</c:v>
                </c:pt>
                <c:pt idx="3">
                  <c:v>0,06%</c:v>
                </c:pt>
                <c:pt idx="4">
                  <c:v>0,08%</c:v>
                </c:pt>
                <c:pt idx="5">
                  <c:v>0,10%</c:v>
                </c:pt>
              </c:strCache>
            </c:strRef>
          </c:cat>
          <c:val>
            <c:numRef>
              <c:f>Лист1!$C$2:$C$7</c:f>
              <c:numCache>
                <c:formatCode>General</c:formatCode>
                <c:ptCount val="6"/>
                <c:pt idx="1">
                  <c:v>50</c:v>
                </c:pt>
              </c:numCache>
            </c:numRef>
          </c:val>
        </c:ser>
        <c:ser>
          <c:idx val="2"/>
          <c:order val="2"/>
          <c:tx>
            <c:strRef>
              <c:f>Лист1!$D$1</c:f>
              <c:strCache>
                <c:ptCount val="1"/>
                <c:pt idx="0">
                  <c:v>альбит 0,04%</c:v>
                </c:pt>
              </c:strCache>
            </c:strRef>
          </c:tx>
          <c:spPr>
            <a:solidFill>
              <a:srgbClr val="35BA16"/>
            </a:solidFill>
          </c:spPr>
          <c:invertIfNegative val="0"/>
          <c:dLbls>
            <c:spPr>
              <a:noFill/>
              <a:ln w="25399">
                <a:noFill/>
              </a:ln>
            </c:spPr>
            <c:txPr>
              <a:bodyPr/>
              <a:lstStyle/>
              <a:p>
                <a:pPr>
                  <a:defRPr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контроль</c:v>
                </c:pt>
                <c:pt idx="1">
                  <c:v>0,02%</c:v>
                </c:pt>
                <c:pt idx="2">
                  <c:v>0,04%</c:v>
                </c:pt>
                <c:pt idx="3">
                  <c:v>0,06%</c:v>
                </c:pt>
                <c:pt idx="4">
                  <c:v>0,08%</c:v>
                </c:pt>
                <c:pt idx="5">
                  <c:v>0,10%</c:v>
                </c:pt>
              </c:strCache>
            </c:strRef>
          </c:cat>
          <c:val>
            <c:numRef>
              <c:f>Лист1!$D$2:$D$7</c:f>
              <c:numCache>
                <c:formatCode>General</c:formatCode>
                <c:ptCount val="6"/>
                <c:pt idx="2">
                  <c:v>47.8</c:v>
                </c:pt>
              </c:numCache>
            </c:numRef>
          </c:val>
        </c:ser>
        <c:ser>
          <c:idx val="3"/>
          <c:order val="3"/>
          <c:tx>
            <c:strRef>
              <c:f>Лист1!$E$1</c:f>
              <c:strCache>
                <c:ptCount val="1"/>
                <c:pt idx="0">
                  <c:v>альбит 0,06%</c:v>
                </c:pt>
              </c:strCache>
            </c:strRef>
          </c:tx>
          <c:spPr>
            <a:solidFill>
              <a:srgbClr val="FFFF00"/>
            </a:solidFill>
          </c:spPr>
          <c:invertIfNegative val="0"/>
          <c:dLbls>
            <c:spPr>
              <a:noFill/>
              <a:ln w="25399">
                <a:noFill/>
              </a:ln>
            </c:spPr>
            <c:txPr>
              <a:bodyPr/>
              <a:lstStyle/>
              <a:p>
                <a:pPr>
                  <a:defRPr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контроль</c:v>
                </c:pt>
                <c:pt idx="1">
                  <c:v>0,02%</c:v>
                </c:pt>
                <c:pt idx="2">
                  <c:v>0,04%</c:v>
                </c:pt>
                <c:pt idx="3">
                  <c:v>0,06%</c:v>
                </c:pt>
                <c:pt idx="4">
                  <c:v>0,08%</c:v>
                </c:pt>
                <c:pt idx="5">
                  <c:v>0,10%</c:v>
                </c:pt>
              </c:strCache>
            </c:strRef>
          </c:cat>
          <c:val>
            <c:numRef>
              <c:f>Лист1!$E$2:$E$7</c:f>
              <c:numCache>
                <c:formatCode>General</c:formatCode>
                <c:ptCount val="6"/>
                <c:pt idx="3">
                  <c:v>54.4</c:v>
                </c:pt>
              </c:numCache>
            </c:numRef>
          </c:val>
        </c:ser>
        <c:ser>
          <c:idx val="4"/>
          <c:order val="4"/>
          <c:tx>
            <c:strRef>
              <c:f>Лист1!$F$1</c:f>
              <c:strCache>
                <c:ptCount val="1"/>
                <c:pt idx="0">
                  <c:v>альбит 0,08%</c:v>
                </c:pt>
              </c:strCache>
            </c:strRef>
          </c:tx>
          <c:spPr>
            <a:solidFill>
              <a:srgbClr val="E86E0A"/>
            </a:solidFill>
          </c:spPr>
          <c:invertIfNegative val="0"/>
          <c:dLbls>
            <c:spPr>
              <a:noFill/>
              <a:ln w="25399">
                <a:noFill/>
              </a:ln>
            </c:spPr>
            <c:txPr>
              <a:bodyPr/>
              <a:lstStyle/>
              <a:p>
                <a:pPr>
                  <a:defRPr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контроль</c:v>
                </c:pt>
                <c:pt idx="1">
                  <c:v>0,02%</c:v>
                </c:pt>
                <c:pt idx="2">
                  <c:v>0,04%</c:v>
                </c:pt>
                <c:pt idx="3">
                  <c:v>0,06%</c:v>
                </c:pt>
                <c:pt idx="4">
                  <c:v>0,08%</c:v>
                </c:pt>
                <c:pt idx="5">
                  <c:v>0,10%</c:v>
                </c:pt>
              </c:strCache>
            </c:strRef>
          </c:cat>
          <c:val>
            <c:numRef>
              <c:f>Лист1!$F$2:$F$7</c:f>
              <c:numCache>
                <c:formatCode>General</c:formatCode>
                <c:ptCount val="6"/>
                <c:pt idx="4">
                  <c:v>55.6</c:v>
                </c:pt>
              </c:numCache>
            </c:numRef>
          </c:val>
        </c:ser>
        <c:ser>
          <c:idx val="5"/>
          <c:order val="5"/>
          <c:tx>
            <c:strRef>
              <c:f>Лист1!$G$1</c:f>
              <c:strCache>
                <c:ptCount val="1"/>
                <c:pt idx="0">
                  <c:v>альбит 0,10%</c:v>
                </c:pt>
              </c:strCache>
            </c:strRef>
          </c:tx>
          <c:spPr>
            <a:solidFill>
              <a:srgbClr val="DC2AC3"/>
            </a:solidFill>
          </c:spPr>
          <c:invertIfNegative val="0"/>
          <c:dLbls>
            <c:spPr>
              <a:noFill/>
              <a:ln w="25399">
                <a:noFill/>
              </a:ln>
            </c:spPr>
            <c:txPr>
              <a:bodyPr/>
              <a:lstStyle/>
              <a:p>
                <a:pPr>
                  <a:defRPr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контроль</c:v>
                </c:pt>
                <c:pt idx="1">
                  <c:v>0,02%</c:v>
                </c:pt>
                <c:pt idx="2">
                  <c:v>0,04%</c:v>
                </c:pt>
                <c:pt idx="3">
                  <c:v>0,06%</c:v>
                </c:pt>
                <c:pt idx="4">
                  <c:v>0,08%</c:v>
                </c:pt>
                <c:pt idx="5">
                  <c:v>0,10%</c:v>
                </c:pt>
              </c:strCache>
            </c:strRef>
          </c:cat>
          <c:val>
            <c:numRef>
              <c:f>Лист1!$G$2:$G$7</c:f>
              <c:numCache>
                <c:formatCode>General</c:formatCode>
                <c:ptCount val="6"/>
                <c:pt idx="5">
                  <c:v>61.1</c:v>
                </c:pt>
              </c:numCache>
            </c:numRef>
          </c:val>
        </c:ser>
        <c:dLbls>
          <c:showLegendKey val="0"/>
          <c:showVal val="0"/>
          <c:showCatName val="0"/>
          <c:showSerName val="0"/>
          <c:showPercent val="0"/>
          <c:showBubbleSize val="0"/>
        </c:dLbls>
        <c:gapWidth val="300"/>
        <c:axId val="-1545169968"/>
        <c:axId val="-1545171056"/>
      </c:barChart>
      <c:catAx>
        <c:axId val="-1545169968"/>
        <c:scaling>
          <c:orientation val="minMax"/>
        </c:scaling>
        <c:delete val="0"/>
        <c:axPos val="b"/>
        <c:title>
          <c:tx>
            <c:rich>
              <a:bodyPr/>
              <a:lstStyle/>
              <a:p>
                <a:pPr>
                  <a:defRPr sz="1200" b="1" i="0" u="none" strike="noStrike" baseline="0">
                    <a:solidFill>
                      <a:srgbClr val="000000"/>
                    </a:solidFill>
                    <a:latin typeface="Times New Roman"/>
                    <a:ea typeface="Times New Roman"/>
                    <a:cs typeface="Times New Roman"/>
                  </a:defRPr>
                </a:pPr>
                <a:r>
                  <a:rPr lang="ru-RU"/>
                  <a:t>Варианты опыта</a:t>
                </a:r>
              </a:p>
            </c:rich>
          </c:tx>
          <c:overlay val="0"/>
        </c:title>
        <c:numFmt formatCode="General" sourceLinked="0"/>
        <c:majorTickMark val="none"/>
        <c:minorTickMark val="none"/>
        <c:tickLblPos val="nextTo"/>
        <c:txPr>
          <a:bodyPr/>
          <a:lstStyle/>
          <a:p>
            <a:pPr>
              <a:defRPr sz="1200" baseline="0">
                <a:latin typeface="Times New Roman" pitchFamily="18" charset="0"/>
              </a:defRPr>
            </a:pPr>
            <a:endParaRPr lang="ru-RU"/>
          </a:p>
        </c:txPr>
        <c:crossAx val="-1545171056"/>
        <c:crosses val="autoZero"/>
        <c:auto val="1"/>
        <c:lblAlgn val="ctr"/>
        <c:lblOffset val="100"/>
        <c:noMultiLvlLbl val="0"/>
      </c:catAx>
      <c:valAx>
        <c:axId val="-1545171056"/>
        <c:scaling>
          <c:orientation val="minMax"/>
        </c:scaling>
        <c:delete val="0"/>
        <c:axPos val="l"/>
        <c:majorGridlines/>
        <c:minorGridlines/>
        <c:title>
          <c:tx>
            <c:rich>
              <a:bodyPr/>
              <a:lstStyle/>
              <a:p>
                <a:pPr>
                  <a:defRPr sz="1200" b="1" i="0" u="none" strike="noStrike" baseline="0">
                    <a:solidFill>
                      <a:srgbClr val="000000"/>
                    </a:solidFill>
                    <a:latin typeface="Times New Roman"/>
                    <a:ea typeface="Times New Roman"/>
                    <a:cs typeface="Times New Roman"/>
                  </a:defRPr>
                </a:pPr>
                <a:r>
                  <a:rPr lang="ru-RU"/>
                  <a:t>Выход саженцев, %</a:t>
                </a:r>
              </a:p>
            </c:rich>
          </c:tx>
          <c:overlay val="0"/>
        </c:title>
        <c:numFmt formatCode="General" sourceLinked="1"/>
        <c:majorTickMark val="out"/>
        <c:minorTickMark val="none"/>
        <c:tickLblPos val="nextTo"/>
        <c:txPr>
          <a:bodyPr/>
          <a:lstStyle/>
          <a:p>
            <a:pPr>
              <a:defRPr sz="1000" baseline="0">
                <a:latin typeface="Times New Roman" pitchFamily="18" charset="0"/>
              </a:defRPr>
            </a:pPr>
            <a:endParaRPr lang="ru-RU"/>
          </a:p>
        </c:txPr>
        <c:crossAx val="-1545169968"/>
        <c:crosses val="autoZero"/>
        <c:crossBetween val="between"/>
        <c:majorUnit val="10"/>
        <c:minorUnit val="10"/>
      </c:valAx>
    </c:plotArea>
    <c:legend>
      <c:legendPos val="b"/>
      <c:layout>
        <c:manualLayout>
          <c:xMode val="edge"/>
          <c:yMode val="edge"/>
          <c:x val="3.9510238885113978E-2"/>
          <c:y val="0.70792650918635169"/>
          <c:w val="0.92329420751340097"/>
          <c:h val="0.26826402559055118"/>
        </c:manualLayout>
      </c:layout>
      <c:overlay val="0"/>
      <c:txPr>
        <a:bodyPr/>
        <a:lstStyle/>
        <a:p>
          <a:pPr>
            <a:defRPr sz="1200" baseline="0">
              <a:latin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2016-12-20T08:02:00Z</dcterms:created>
  <dcterms:modified xsi:type="dcterms:W3CDTF">2016-12-20T08:02:00Z</dcterms:modified>
</cp:coreProperties>
</file>