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EF" w:rsidRPr="00BD5EEF" w:rsidRDefault="00BD5EEF" w:rsidP="00BD5EEF">
      <w:pPr>
        <w:spacing w:before="480" w:after="240" w:line="240" w:lineRule="auto"/>
        <w:rPr>
          <w:rFonts w:ascii="Times New Roman" w:eastAsia="Times New Roman" w:hAnsi="Times New Roman" w:cs="Times New Roman"/>
          <w:b/>
          <w:color w:val="000000"/>
          <w:sz w:val="24"/>
          <w:szCs w:val="24"/>
          <w:lang w:eastAsia="ru-RU"/>
        </w:rPr>
      </w:pPr>
      <w:r w:rsidRPr="00BD5EEF">
        <w:rPr>
          <w:rFonts w:ascii="Times New Roman" w:eastAsia="Times New Roman" w:hAnsi="Times New Roman" w:cs="Times New Roman"/>
          <w:color w:val="000000"/>
          <w:sz w:val="24"/>
          <w:szCs w:val="24"/>
          <w:lang w:eastAsia="ru-RU"/>
        </w:rPr>
        <w:t>УДК 634.85:631.543/.811</w:t>
      </w:r>
    </w:p>
    <w:p w:rsidR="00BD5EEF" w:rsidRPr="00BD5EEF" w:rsidRDefault="00BD5EEF" w:rsidP="00BD5EEF">
      <w:pPr>
        <w:spacing w:after="240" w:line="240" w:lineRule="auto"/>
        <w:jc w:val="center"/>
        <w:rPr>
          <w:rFonts w:ascii="Times New Roman" w:eastAsia="Times New Roman" w:hAnsi="Times New Roman" w:cs="Times New Roman"/>
          <w:b/>
          <w:color w:val="000000"/>
          <w:sz w:val="28"/>
          <w:szCs w:val="28"/>
          <w:lang w:eastAsia="ru-RU"/>
        </w:rPr>
      </w:pPr>
      <w:r w:rsidRPr="00BD5EEF">
        <w:rPr>
          <w:rFonts w:ascii="Times New Roman" w:eastAsia="Times New Roman" w:hAnsi="Times New Roman" w:cs="Times New Roman"/>
          <w:b/>
          <w:color w:val="000000"/>
          <w:sz w:val="28"/>
          <w:szCs w:val="28"/>
          <w:lang w:eastAsia="ru-RU"/>
        </w:rPr>
        <w:t xml:space="preserve">ПРИМЕНЕНИЕ </w:t>
      </w:r>
      <w:r w:rsidRPr="00BD5EEF">
        <w:rPr>
          <w:rFonts w:ascii="Times New Roman" w:eastAsia="Times New Roman" w:hAnsi="Times New Roman" w:cs="Times New Roman"/>
          <w:b/>
          <w:sz w:val="28"/>
          <w:szCs w:val="28"/>
          <w:lang w:eastAsia="ru-RU"/>
        </w:rPr>
        <w:t xml:space="preserve">КОМПЛЕКСНОГО УДОБРЕНИЯ </w:t>
      </w:r>
      <w:r w:rsidRPr="00BD5EEF">
        <w:rPr>
          <w:rFonts w:ascii="Times New Roman" w:eastAsia="Times New Roman" w:hAnsi="Times New Roman" w:cs="Times New Roman"/>
          <w:b/>
          <w:color w:val="000000"/>
          <w:sz w:val="28"/>
          <w:szCs w:val="28"/>
          <w:lang w:eastAsia="ru-RU"/>
        </w:rPr>
        <w:t>ПРИ ПОСАДКЕ САЖЕНЦЕВ ВИНОГРАДА В УСЛОВИЯХ ВОСТОЧНОГО РАЙОНА ЮЖНОБЕРЕЖНОЙ ЗОНЫ КРЫМА</w:t>
      </w:r>
    </w:p>
    <w:p w:rsidR="00BD5EEF" w:rsidRPr="00BD5EEF" w:rsidRDefault="00BD5EEF" w:rsidP="00BD5EEF">
      <w:pPr>
        <w:spacing w:after="0" w:line="240" w:lineRule="auto"/>
        <w:jc w:val="center"/>
        <w:rPr>
          <w:rFonts w:ascii="Times New Roman" w:eastAsia="Times New Roman" w:hAnsi="Times New Roman" w:cs="Times New Roman"/>
          <w:b/>
          <w:sz w:val="28"/>
          <w:szCs w:val="28"/>
          <w:lang w:val="en-US" w:eastAsia="ru-RU"/>
        </w:rPr>
      </w:pPr>
      <w:r w:rsidRPr="00BD5EEF">
        <w:rPr>
          <w:rFonts w:ascii="Times New Roman" w:eastAsia="Times New Roman" w:hAnsi="Times New Roman" w:cs="Times New Roman"/>
          <w:b/>
          <w:sz w:val="28"/>
          <w:szCs w:val="28"/>
          <w:lang w:val="en-US" w:eastAsia="ru-RU"/>
        </w:rPr>
        <w:t>APPLIKATION OF COMPLEX</w:t>
      </w:r>
      <w:r w:rsidRPr="00BD5EEF">
        <w:rPr>
          <w:rFonts w:ascii="Calibri" w:eastAsia="Times New Roman" w:hAnsi="Calibri" w:cs="Times New Roman"/>
          <w:sz w:val="24"/>
          <w:szCs w:val="24"/>
          <w:lang w:val="en-US"/>
        </w:rPr>
        <w:t xml:space="preserve"> </w:t>
      </w:r>
      <w:r w:rsidRPr="00BD5EEF">
        <w:rPr>
          <w:rFonts w:ascii="Times New Roman" w:eastAsia="Times New Roman" w:hAnsi="Times New Roman" w:cs="Times New Roman"/>
          <w:b/>
          <w:sz w:val="28"/>
          <w:szCs w:val="28"/>
          <w:lang w:val="en-US" w:eastAsia="ru-RU"/>
        </w:rPr>
        <w:t>FERTILIZER AT PLANTING GRAPES</w:t>
      </w:r>
    </w:p>
    <w:p w:rsidR="00BD5EEF" w:rsidRPr="00BD5EEF" w:rsidRDefault="00BD5EEF" w:rsidP="00BD5EEF">
      <w:pPr>
        <w:spacing w:after="240" w:line="240" w:lineRule="auto"/>
        <w:jc w:val="center"/>
        <w:rPr>
          <w:rFonts w:ascii="Times New Roman" w:eastAsia="Times New Roman" w:hAnsi="Times New Roman" w:cs="Times New Roman"/>
          <w:sz w:val="28"/>
          <w:szCs w:val="28"/>
          <w:lang w:val="en-US" w:eastAsia="ru-RU"/>
        </w:rPr>
      </w:pPr>
      <w:r w:rsidRPr="00BD5EEF">
        <w:rPr>
          <w:rFonts w:ascii="Times New Roman" w:eastAsia="Times New Roman" w:hAnsi="Times New Roman" w:cs="Times New Roman"/>
          <w:b/>
          <w:sz w:val="28"/>
          <w:szCs w:val="28"/>
          <w:lang w:val="en-US" w:eastAsia="ru-RU"/>
        </w:rPr>
        <w:t xml:space="preserve"> IN THE CONDITIONS</w:t>
      </w:r>
      <w:r w:rsidRPr="00BD5EEF">
        <w:rPr>
          <w:rFonts w:ascii="Times New Roman" w:eastAsia="Times New Roman" w:hAnsi="Times New Roman" w:cs="Times New Roman"/>
          <w:sz w:val="28"/>
          <w:szCs w:val="28"/>
          <w:lang w:val="en-US" w:eastAsia="ru-RU"/>
        </w:rPr>
        <w:t xml:space="preserve"> </w:t>
      </w:r>
      <w:r w:rsidRPr="00BD5EEF">
        <w:rPr>
          <w:rFonts w:ascii="Times New Roman" w:eastAsia="Times New Roman" w:hAnsi="Times New Roman" w:cs="Times New Roman"/>
          <w:b/>
          <w:sz w:val="28"/>
          <w:szCs w:val="28"/>
          <w:lang w:val="en-US" w:eastAsia="ru-RU"/>
        </w:rPr>
        <w:t>OF</w:t>
      </w:r>
      <w:r w:rsidRPr="00BD5EEF">
        <w:rPr>
          <w:rFonts w:ascii="Times New Roman" w:eastAsia="Times New Roman" w:hAnsi="Times New Roman" w:cs="Times New Roman"/>
          <w:sz w:val="28"/>
          <w:szCs w:val="28"/>
          <w:lang w:val="en-US" w:eastAsia="ru-RU"/>
        </w:rPr>
        <w:t xml:space="preserve"> </w:t>
      </w:r>
      <w:r w:rsidRPr="00BD5EEF">
        <w:rPr>
          <w:rFonts w:ascii="Times New Roman" w:eastAsia="Times New Roman" w:hAnsi="Times New Roman" w:cs="Times New Roman"/>
          <w:b/>
          <w:sz w:val="28"/>
          <w:szCs w:val="28"/>
          <w:lang w:val="en-US" w:eastAsia="ru-RU"/>
        </w:rPr>
        <w:t>EASTERN DISTRICT</w:t>
      </w:r>
      <w:r w:rsidRPr="00BD5EEF">
        <w:rPr>
          <w:rFonts w:ascii="Times New Roman" w:eastAsia="Times New Roman" w:hAnsi="Times New Roman" w:cs="Times New Roman"/>
          <w:sz w:val="28"/>
          <w:szCs w:val="28"/>
          <w:lang w:val="en-US" w:eastAsia="ru-RU"/>
        </w:rPr>
        <w:t xml:space="preserve"> </w:t>
      </w:r>
      <w:r w:rsidRPr="00BD5EEF">
        <w:rPr>
          <w:rFonts w:ascii="Times New Roman" w:eastAsia="Times New Roman" w:hAnsi="Times New Roman" w:cs="Times New Roman"/>
          <w:b/>
          <w:sz w:val="28"/>
          <w:szCs w:val="28"/>
          <w:lang w:val="en-US" w:eastAsia="ru-RU"/>
        </w:rPr>
        <w:t>ZONE SOUTH COAST OF THE CRIMEA</w:t>
      </w:r>
    </w:p>
    <w:tbl>
      <w:tblPr>
        <w:tblW w:w="0" w:type="auto"/>
        <w:tblLook w:val="04A0" w:firstRow="1" w:lastRow="0" w:firstColumn="1" w:lastColumn="0" w:noHBand="0" w:noVBand="1"/>
      </w:tblPr>
      <w:tblGrid>
        <w:gridCol w:w="4644"/>
        <w:gridCol w:w="4644"/>
      </w:tblGrid>
      <w:tr w:rsidR="00BD5EEF" w:rsidRPr="00BD5EEF" w:rsidTr="00D539E6">
        <w:tc>
          <w:tcPr>
            <w:tcW w:w="4644" w:type="dxa"/>
            <w:shd w:val="clear" w:color="auto" w:fill="auto"/>
          </w:tcPr>
          <w:p w:rsidR="00BD5EEF" w:rsidRPr="00BD5EEF" w:rsidRDefault="00BD5EEF" w:rsidP="00BD5EEF">
            <w:pPr>
              <w:spacing w:after="0" w:line="240" w:lineRule="auto"/>
              <w:rPr>
                <w:rFonts w:ascii="Times New Roman" w:eastAsia="Times New Roman" w:hAnsi="Times New Roman" w:cs="Times New Roman"/>
                <w:bCs/>
                <w:i/>
                <w:iCs/>
                <w:sz w:val="24"/>
                <w:szCs w:val="24"/>
                <w:lang w:eastAsia="ru-RU"/>
              </w:rPr>
            </w:pPr>
            <w:r w:rsidRPr="00BD5EEF">
              <w:rPr>
                <w:rFonts w:ascii="Times New Roman" w:eastAsia="Times New Roman" w:hAnsi="Times New Roman" w:cs="Times New Roman"/>
                <w:bCs/>
                <w:i/>
                <w:iCs/>
                <w:sz w:val="24"/>
                <w:szCs w:val="24"/>
                <w:lang w:eastAsia="ru-RU"/>
              </w:rPr>
              <w:t>Н.А. Тихомирова,</w:t>
            </w:r>
            <w:r w:rsidRPr="00BD5EEF">
              <w:rPr>
                <w:rFonts w:ascii="Times New Roman" w:eastAsia="Times New Roman" w:hAnsi="Times New Roman" w:cs="Times New Roman"/>
                <w:i/>
                <w:iCs/>
                <w:sz w:val="24"/>
                <w:szCs w:val="24"/>
                <w:lang w:eastAsia="ru-RU"/>
              </w:rPr>
              <w:t xml:space="preserve"> Н.А.</w:t>
            </w:r>
            <w:r w:rsidRPr="00BD5EEF">
              <w:rPr>
                <w:rFonts w:ascii="Times New Roman" w:eastAsia="Times New Roman" w:hAnsi="Times New Roman" w:cs="Times New Roman"/>
                <w:bCs/>
                <w:i/>
                <w:iCs/>
                <w:sz w:val="24"/>
                <w:szCs w:val="24"/>
                <w:lang w:eastAsia="ru-RU"/>
              </w:rPr>
              <w:t xml:space="preserve"> </w:t>
            </w:r>
            <w:r w:rsidRPr="00BD5EEF">
              <w:rPr>
                <w:rFonts w:ascii="Times New Roman" w:eastAsia="Times New Roman" w:hAnsi="Times New Roman" w:cs="Times New Roman"/>
                <w:i/>
                <w:iCs/>
                <w:sz w:val="24"/>
                <w:szCs w:val="24"/>
                <w:lang w:eastAsia="ru-RU"/>
              </w:rPr>
              <w:t>Урденко,</w:t>
            </w:r>
            <w:r w:rsidRPr="00BD5EEF">
              <w:rPr>
                <w:rFonts w:ascii="Times New Roman" w:eastAsia="Times New Roman" w:hAnsi="Times New Roman" w:cs="Times New Roman"/>
                <w:bCs/>
                <w:i/>
                <w:iCs/>
                <w:sz w:val="24"/>
                <w:szCs w:val="24"/>
                <w:lang w:eastAsia="ru-RU"/>
              </w:rPr>
              <w:t xml:space="preserve"> </w:t>
            </w:r>
          </w:p>
          <w:p w:rsidR="00BD5EEF" w:rsidRPr="00BD5EEF" w:rsidRDefault="00BD5EEF" w:rsidP="00BD5EEF">
            <w:pPr>
              <w:spacing w:after="0" w:line="240" w:lineRule="auto"/>
              <w:rPr>
                <w:rFonts w:ascii="Times New Roman" w:eastAsia="Times New Roman" w:hAnsi="Times New Roman" w:cs="Times New Roman"/>
                <w:i/>
                <w:iCs/>
                <w:sz w:val="24"/>
                <w:szCs w:val="24"/>
                <w:lang w:eastAsia="ru-RU"/>
              </w:rPr>
            </w:pPr>
            <w:r w:rsidRPr="00BD5EEF">
              <w:rPr>
                <w:rFonts w:ascii="Times New Roman" w:eastAsia="Times New Roman" w:hAnsi="Times New Roman" w:cs="Times New Roman"/>
                <w:bCs/>
                <w:i/>
                <w:iCs/>
                <w:sz w:val="24"/>
                <w:szCs w:val="24"/>
                <w:lang w:eastAsia="ru-RU"/>
              </w:rPr>
              <w:t xml:space="preserve">М.Р. Бейбулатов, Р.А. </w:t>
            </w:r>
            <w:r w:rsidRPr="00BD5EEF">
              <w:rPr>
                <w:rFonts w:ascii="Times New Roman" w:eastAsia="Times New Roman" w:hAnsi="Times New Roman" w:cs="Times New Roman"/>
                <w:i/>
                <w:sz w:val="24"/>
                <w:szCs w:val="24"/>
                <w:lang w:eastAsia="ru-RU"/>
              </w:rPr>
              <w:t>Буйвал</w:t>
            </w:r>
            <w:r w:rsidRPr="00BD5EEF">
              <w:rPr>
                <w:rFonts w:ascii="Times New Roman" w:eastAsia="Times New Roman" w:hAnsi="Times New Roman" w:cs="Times New Roman"/>
                <w:i/>
                <w:iCs/>
                <w:sz w:val="24"/>
                <w:szCs w:val="24"/>
                <w:lang w:eastAsia="ru-RU"/>
              </w:rPr>
              <w:t xml:space="preserve"> </w:t>
            </w:r>
          </w:p>
          <w:p w:rsidR="00BD5EEF" w:rsidRPr="00BD5EEF" w:rsidRDefault="00BD5EEF" w:rsidP="00BD5EEF">
            <w:pPr>
              <w:spacing w:after="0" w:line="240" w:lineRule="auto"/>
              <w:rPr>
                <w:rFonts w:ascii="Times New Roman" w:eastAsia="Times New Roman" w:hAnsi="Times New Roman" w:cs="Times New Roman"/>
                <w:bCs/>
                <w:i/>
                <w:iCs/>
                <w:sz w:val="24"/>
                <w:szCs w:val="24"/>
                <w:lang w:eastAsia="ru-RU"/>
              </w:rPr>
            </w:pPr>
          </w:p>
        </w:tc>
        <w:tc>
          <w:tcPr>
            <w:tcW w:w="4644" w:type="dxa"/>
            <w:shd w:val="clear" w:color="auto" w:fill="auto"/>
          </w:tcPr>
          <w:p w:rsidR="00BD5EEF" w:rsidRPr="00BD5EEF" w:rsidRDefault="00BD5EEF" w:rsidP="00BD5EEF">
            <w:pPr>
              <w:spacing w:after="0" w:line="240" w:lineRule="auto"/>
              <w:rPr>
                <w:rFonts w:ascii="Times New Roman" w:eastAsia="Times New Roman" w:hAnsi="Times New Roman" w:cs="Times New Roman"/>
                <w:i/>
                <w:sz w:val="24"/>
                <w:szCs w:val="24"/>
                <w:lang w:val="en-US" w:eastAsia="ru-RU"/>
              </w:rPr>
            </w:pPr>
            <w:r w:rsidRPr="00BD5EEF">
              <w:rPr>
                <w:rFonts w:ascii="Times New Roman" w:eastAsia="Times New Roman" w:hAnsi="Times New Roman" w:cs="Times New Roman"/>
                <w:i/>
                <w:sz w:val="24"/>
                <w:szCs w:val="24"/>
                <w:lang w:val="en-US" w:eastAsia="ru-RU"/>
              </w:rPr>
              <w:t xml:space="preserve">N.A. Tikhomirov, N.A. Urdenko, </w:t>
            </w:r>
          </w:p>
          <w:p w:rsidR="00BD5EEF" w:rsidRPr="00BD5EEF" w:rsidRDefault="00BD5EEF" w:rsidP="00BD5EEF">
            <w:pPr>
              <w:spacing w:after="0" w:line="240" w:lineRule="auto"/>
              <w:rPr>
                <w:rFonts w:ascii="Times New Roman" w:eastAsia="Times New Roman" w:hAnsi="Times New Roman" w:cs="Times New Roman"/>
                <w:i/>
                <w:sz w:val="24"/>
                <w:szCs w:val="24"/>
                <w:lang w:val="en-US" w:eastAsia="ru-RU"/>
              </w:rPr>
            </w:pPr>
            <w:r w:rsidRPr="00BD5EEF">
              <w:rPr>
                <w:rFonts w:ascii="Times New Roman" w:eastAsia="Times New Roman" w:hAnsi="Times New Roman" w:cs="Times New Roman"/>
                <w:i/>
                <w:sz w:val="24"/>
                <w:szCs w:val="24"/>
                <w:lang w:val="en-US" w:eastAsia="ru-RU"/>
              </w:rPr>
              <w:t>R.M. Beybulatov, R.A. Buval</w:t>
            </w:r>
          </w:p>
          <w:p w:rsidR="00BD5EEF" w:rsidRPr="00BD5EEF" w:rsidRDefault="00BD5EEF" w:rsidP="00BD5EEF">
            <w:pPr>
              <w:spacing w:after="0" w:line="240" w:lineRule="auto"/>
              <w:rPr>
                <w:rFonts w:ascii="Times New Roman" w:eastAsia="Times New Roman" w:hAnsi="Times New Roman" w:cs="Times New Roman"/>
                <w:i/>
                <w:sz w:val="24"/>
                <w:szCs w:val="24"/>
                <w:lang w:val="en-US" w:eastAsia="ru-RU"/>
              </w:rPr>
            </w:pPr>
          </w:p>
        </w:tc>
      </w:tr>
      <w:tr w:rsidR="00BD5EEF" w:rsidRPr="00BD5EEF" w:rsidTr="00D539E6">
        <w:tc>
          <w:tcPr>
            <w:tcW w:w="4644" w:type="dxa"/>
            <w:shd w:val="clear" w:color="auto" w:fill="auto"/>
          </w:tcPr>
          <w:p w:rsidR="00BD5EEF" w:rsidRPr="00BD5EEF" w:rsidRDefault="00BD5EEF" w:rsidP="00BD5EEF">
            <w:pPr>
              <w:spacing w:after="0" w:line="240" w:lineRule="auto"/>
              <w:rPr>
                <w:rFonts w:ascii="Times New Roman" w:eastAsia="Times New Roman" w:hAnsi="Times New Roman" w:cs="Times New Roman"/>
                <w:i/>
                <w:sz w:val="24"/>
                <w:szCs w:val="24"/>
                <w:lang w:eastAsia="ru-RU"/>
              </w:rPr>
            </w:pPr>
            <w:r w:rsidRPr="00BD5EEF">
              <w:rPr>
                <w:rFonts w:ascii="Times New Roman" w:eastAsia="Times New Roman" w:hAnsi="Times New Roman" w:cs="Times New Roman"/>
                <w:i/>
                <w:sz w:val="24"/>
                <w:szCs w:val="24"/>
                <w:lang w:eastAsia="ru-RU"/>
              </w:rPr>
              <w:t xml:space="preserve">ФГБУН </w:t>
            </w:r>
            <w:r w:rsidRPr="00BD5EEF">
              <w:rPr>
                <w:rFonts w:ascii="Times New Roman" w:eastAsia="Times New Roman" w:hAnsi="Times New Roman" w:cs="Times New Roman"/>
                <w:sz w:val="24"/>
                <w:szCs w:val="24"/>
                <w:lang w:eastAsia="ru-RU"/>
              </w:rPr>
              <w:t xml:space="preserve">«Всероссийский Национальный научно-исследовательский институт виноградарства и виноделия «Магарач» РАН», </w:t>
            </w:r>
            <w:r w:rsidRPr="00BD5EEF">
              <w:rPr>
                <w:rFonts w:ascii="Times New Roman" w:eastAsia="Times New Roman" w:hAnsi="Times New Roman" w:cs="Times New Roman"/>
                <w:iCs/>
                <w:sz w:val="24"/>
                <w:szCs w:val="24"/>
                <w:lang w:eastAsia="ru-RU"/>
              </w:rPr>
              <w:t>г. Ялта, Республика Крым, Россия</w:t>
            </w:r>
          </w:p>
          <w:p w:rsidR="00BD5EEF" w:rsidRPr="00BD5EEF" w:rsidRDefault="00BD5EEF" w:rsidP="00BD5EEF">
            <w:pPr>
              <w:spacing w:after="0" w:line="240" w:lineRule="auto"/>
              <w:rPr>
                <w:rFonts w:ascii="Times New Roman" w:eastAsia="Times New Roman" w:hAnsi="Times New Roman" w:cs="Times New Roman"/>
                <w:bCs/>
                <w:i/>
                <w:iCs/>
                <w:sz w:val="24"/>
                <w:szCs w:val="24"/>
                <w:lang w:eastAsia="ru-RU"/>
              </w:rPr>
            </w:pPr>
          </w:p>
        </w:tc>
        <w:tc>
          <w:tcPr>
            <w:tcW w:w="4644" w:type="dxa"/>
            <w:shd w:val="clear" w:color="auto" w:fill="auto"/>
          </w:tcPr>
          <w:p w:rsidR="00BD5EEF" w:rsidRPr="00BD5EEF" w:rsidRDefault="00BD5EEF" w:rsidP="00BD5EEF">
            <w:pPr>
              <w:spacing w:after="0" w:line="240" w:lineRule="auto"/>
              <w:ind w:left="-108" w:right="-142" w:firstLine="108"/>
              <w:jc w:val="both"/>
              <w:rPr>
                <w:rFonts w:ascii="Times New Roman" w:eastAsia="Times New Roman" w:hAnsi="Times New Roman" w:cs="Times New Roman"/>
                <w:sz w:val="24"/>
                <w:szCs w:val="24"/>
                <w:lang w:val="en-US" w:eastAsia="ru-RU"/>
              </w:rPr>
            </w:pPr>
            <w:r w:rsidRPr="00BD5EEF">
              <w:rPr>
                <w:rFonts w:ascii="Times New Roman" w:eastAsia="Times New Roman" w:hAnsi="Times New Roman" w:cs="Times New Roman"/>
                <w:sz w:val="24"/>
                <w:szCs w:val="24"/>
                <w:lang w:val="en-US" w:eastAsia="ru-RU"/>
              </w:rPr>
              <w:t>Russian Nationwide Viticulture and Enology Scientific and Research Institute “Magarach”,</w:t>
            </w:r>
          </w:p>
          <w:p w:rsidR="00BD5EEF" w:rsidRPr="00BD5EEF" w:rsidRDefault="00BD5EEF" w:rsidP="00BD5EEF">
            <w:pPr>
              <w:spacing w:after="0" w:line="240" w:lineRule="auto"/>
              <w:ind w:left="-108" w:right="-142" w:firstLine="108"/>
              <w:jc w:val="both"/>
              <w:rPr>
                <w:rFonts w:ascii="Times New Roman" w:eastAsia="Times New Roman" w:hAnsi="Times New Roman" w:cs="Times New Roman"/>
                <w:sz w:val="24"/>
                <w:szCs w:val="24"/>
                <w:lang w:val="en-US" w:eastAsia="ru-RU"/>
              </w:rPr>
            </w:pPr>
            <w:r w:rsidRPr="00BD5EEF">
              <w:rPr>
                <w:rFonts w:ascii="Times New Roman" w:eastAsia="Times New Roman" w:hAnsi="Times New Roman" w:cs="Times New Roman"/>
                <w:sz w:val="24"/>
                <w:szCs w:val="24"/>
                <w:lang w:val="en-US" w:eastAsia="ru-RU"/>
              </w:rPr>
              <w:t xml:space="preserve">Russian Academy of Science, </w:t>
            </w:r>
          </w:p>
          <w:p w:rsidR="00BD5EEF" w:rsidRPr="00BD5EEF" w:rsidRDefault="00BD5EEF" w:rsidP="00BD5EEF">
            <w:pPr>
              <w:spacing w:after="0" w:line="240" w:lineRule="auto"/>
              <w:rPr>
                <w:rFonts w:ascii="Times New Roman" w:eastAsia="Times New Roman" w:hAnsi="Times New Roman" w:cs="Times New Roman"/>
                <w:sz w:val="24"/>
                <w:szCs w:val="24"/>
                <w:lang w:val="en-US" w:eastAsia="ru-RU"/>
              </w:rPr>
            </w:pPr>
            <w:r w:rsidRPr="00BD5EEF">
              <w:rPr>
                <w:rFonts w:ascii="Times New Roman" w:eastAsia="Times New Roman" w:hAnsi="Times New Roman" w:cs="Times New Roman"/>
                <w:sz w:val="24"/>
                <w:szCs w:val="24"/>
                <w:lang w:val="en-US" w:eastAsia="ru-RU"/>
              </w:rPr>
              <w:t>Yalta, Republic of Crimea, Russia</w:t>
            </w:r>
          </w:p>
          <w:p w:rsidR="00BD5EEF" w:rsidRPr="00BD5EEF" w:rsidRDefault="00BD5EEF" w:rsidP="00BD5EEF">
            <w:pPr>
              <w:spacing w:after="0" w:line="240" w:lineRule="auto"/>
              <w:rPr>
                <w:rFonts w:ascii="Times New Roman" w:eastAsia="Times New Roman" w:hAnsi="Times New Roman" w:cs="Times New Roman"/>
                <w:i/>
                <w:sz w:val="24"/>
                <w:szCs w:val="24"/>
                <w:lang w:val="en-US" w:eastAsia="ru-RU"/>
              </w:rPr>
            </w:pPr>
          </w:p>
        </w:tc>
      </w:tr>
      <w:tr w:rsidR="00BD5EEF" w:rsidRPr="00BD5EEF" w:rsidTr="00D539E6">
        <w:tc>
          <w:tcPr>
            <w:tcW w:w="4644" w:type="dxa"/>
            <w:shd w:val="clear" w:color="auto" w:fill="auto"/>
          </w:tcPr>
          <w:p w:rsidR="00BD5EEF" w:rsidRPr="00BD5EEF" w:rsidRDefault="00BD5EEF" w:rsidP="00BD5EEF">
            <w:pPr>
              <w:spacing w:after="0" w:line="240" w:lineRule="auto"/>
              <w:jc w:val="both"/>
              <w:rPr>
                <w:rFonts w:ascii="Times New Roman" w:eastAsia="Times New Roman" w:hAnsi="Times New Roman" w:cs="Times New Roman"/>
                <w:sz w:val="24"/>
                <w:szCs w:val="24"/>
                <w:lang w:eastAsia="ru-RU"/>
              </w:rPr>
            </w:pPr>
            <w:r w:rsidRPr="00BD5EEF">
              <w:rPr>
                <w:rFonts w:ascii="Times New Roman" w:eastAsia="Times New Roman" w:hAnsi="Times New Roman" w:cs="Times New Roman"/>
                <w:b/>
                <w:sz w:val="24"/>
                <w:szCs w:val="24"/>
                <w:lang w:eastAsia="ru-RU"/>
              </w:rPr>
              <w:t>Аннотация</w:t>
            </w:r>
            <w:r w:rsidRPr="00BD5EEF">
              <w:rPr>
                <w:rFonts w:ascii="Times New Roman" w:eastAsia="Times New Roman" w:hAnsi="Times New Roman" w:cs="Times New Roman"/>
                <w:sz w:val="24"/>
                <w:szCs w:val="24"/>
                <w:lang w:eastAsia="ru-RU"/>
              </w:rPr>
              <w:t>. В статье обобщены результаты испытаний комплексного удобрения и стимулятора роста «ЭМИКС» при посадке винограда, его влияния на приживаемость, рост и развитие саженцев.</w:t>
            </w:r>
            <w:r w:rsidRPr="00BD5EEF">
              <w:rPr>
                <w:rFonts w:ascii="Times New Roman" w:eastAsia="Times New Roman" w:hAnsi="Times New Roman" w:cs="Times New Roman"/>
                <w:spacing w:val="4"/>
                <w:sz w:val="24"/>
                <w:szCs w:val="24"/>
                <w:shd w:val="clear" w:color="auto" w:fill="FFFFFF"/>
                <w:lang w:eastAsia="ru-RU"/>
              </w:rPr>
              <w:t xml:space="preserve"> </w:t>
            </w:r>
            <w:r w:rsidRPr="00BD5EEF">
              <w:rPr>
                <w:rFonts w:ascii="Times New Roman" w:eastAsia="Times New Roman" w:hAnsi="Times New Roman" w:cs="Times New Roman"/>
                <w:sz w:val="24"/>
                <w:szCs w:val="24"/>
                <w:lang w:eastAsia="ru-RU"/>
              </w:rPr>
              <w:t>Экспериментально доказано, что применение корневых подкормок в комплексе агротехнических приемов при посадке саженцев винограда дает возможность повысить на 20 % приживаемость саженцев, активизирует рост корней, улучшает рост и вызревание побегов.</w:t>
            </w:r>
          </w:p>
          <w:p w:rsidR="00BD5EEF" w:rsidRPr="00BD5EEF" w:rsidRDefault="00BD5EEF" w:rsidP="00BD5EEF">
            <w:pPr>
              <w:spacing w:after="0" w:line="240" w:lineRule="auto"/>
              <w:jc w:val="both"/>
              <w:rPr>
                <w:rFonts w:ascii="Times New Roman" w:eastAsia="Times New Roman" w:hAnsi="Times New Roman" w:cs="Times New Roman"/>
                <w:i/>
                <w:sz w:val="24"/>
                <w:szCs w:val="24"/>
                <w:lang w:eastAsia="ru-RU"/>
              </w:rPr>
            </w:pPr>
          </w:p>
        </w:tc>
        <w:tc>
          <w:tcPr>
            <w:tcW w:w="4644" w:type="dxa"/>
            <w:shd w:val="clear" w:color="auto" w:fill="auto"/>
          </w:tcPr>
          <w:p w:rsidR="00BD5EEF" w:rsidRPr="00BD5EEF" w:rsidRDefault="00BD5EEF" w:rsidP="00BD5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BD5EEF">
              <w:rPr>
                <w:rFonts w:ascii="Times New Roman" w:eastAsia="Times New Roman" w:hAnsi="Times New Roman" w:cs="Courier New"/>
                <w:b/>
                <w:sz w:val="24"/>
                <w:szCs w:val="24"/>
                <w:lang w:val="en" w:eastAsia="ru-RU"/>
              </w:rPr>
              <w:t>Summary.</w:t>
            </w:r>
            <w:r w:rsidRPr="00BD5EEF">
              <w:rPr>
                <w:rFonts w:ascii="Times New Roman" w:eastAsia="Times New Roman" w:hAnsi="Times New Roman" w:cs="Courier New"/>
                <w:b/>
                <w:sz w:val="24"/>
                <w:szCs w:val="24"/>
                <w:lang w:val="en-US" w:eastAsia="ru-RU"/>
              </w:rPr>
              <w:t xml:space="preserve"> </w:t>
            </w:r>
            <w:r w:rsidRPr="00BD5EEF">
              <w:rPr>
                <w:rFonts w:ascii="Times New Roman" w:eastAsia="Times New Roman" w:hAnsi="Times New Roman" w:cs="Times New Roman"/>
                <w:sz w:val="24"/>
                <w:szCs w:val="24"/>
                <w:lang w:val="en-US" w:eastAsia="ru-RU"/>
              </w:rPr>
              <w:t>The paper summarizes the results of tests of complex fertilizer and growth stimulator "EMIX" during planting grapes, its impact on survival, growth and development of seedlings. It is experimentally proved that the use of root fertilizing in the complex agricultural practices at planting seedlings of grapes makes it possible to increase by 20% survival rate of seedlings, stimulates root growth and improves the growth and maturation of the shoots.</w:t>
            </w:r>
          </w:p>
          <w:p w:rsidR="00BD5EEF" w:rsidRPr="00BD5EEF" w:rsidRDefault="00BD5EEF" w:rsidP="00BD5EEF">
            <w:pPr>
              <w:spacing w:after="0" w:line="240" w:lineRule="auto"/>
              <w:ind w:left="-108" w:right="-142" w:firstLine="108"/>
              <w:jc w:val="both"/>
              <w:rPr>
                <w:rFonts w:ascii="Times New Roman" w:eastAsia="Times New Roman" w:hAnsi="Times New Roman" w:cs="Times New Roman"/>
                <w:sz w:val="24"/>
                <w:szCs w:val="24"/>
                <w:lang w:val="en-US" w:eastAsia="ru-RU"/>
              </w:rPr>
            </w:pPr>
          </w:p>
        </w:tc>
      </w:tr>
      <w:tr w:rsidR="00BD5EEF" w:rsidRPr="00BD5EEF" w:rsidTr="00D539E6">
        <w:tc>
          <w:tcPr>
            <w:tcW w:w="4644" w:type="dxa"/>
            <w:shd w:val="clear" w:color="auto" w:fill="auto"/>
          </w:tcPr>
          <w:p w:rsidR="00BD5EEF" w:rsidRPr="00BD5EEF" w:rsidRDefault="00BD5EEF" w:rsidP="00BD5EEF">
            <w:pPr>
              <w:spacing w:after="0" w:line="240" w:lineRule="auto"/>
              <w:rPr>
                <w:rFonts w:ascii="Times New Roman" w:eastAsia="Times New Roman" w:hAnsi="Times New Roman" w:cs="Times New Roman"/>
                <w:iCs/>
                <w:sz w:val="24"/>
                <w:szCs w:val="24"/>
                <w:lang w:eastAsia="ru-RU"/>
              </w:rPr>
            </w:pPr>
            <w:r w:rsidRPr="00BD5EEF">
              <w:rPr>
                <w:rFonts w:ascii="Times New Roman" w:eastAsia="Times New Roman" w:hAnsi="Times New Roman" w:cs="Times New Roman"/>
                <w:b/>
                <w:sz w:val="24"/>
                <w:szCs w:val="24"/>
                <w:lang w:eastAsia="ru-RU"/>
              </w:rPr>
              <w:t>Ключевые слова:</w:t>
            </w:r>
            <w:r w:rsidRPr="00BD5EEF">
              <w:rPr>
                <w:rFonts w:ascii="Times New Roman" w:eastAsia="Times New Roman" w:hAnsi="Times New Roman" w:cs="Times New Roman"/>
                <w:i/>
                <w:sz w:val="24"/>
                <w:szCs w:val="24"/>
                <w:lang w:eastAsia="ru-RU"/>
              </w:rPr>
              <w:t xml:space="preserve"> </w:t>
            </w:r>
            <w:r w:rsidRPr="00BD5EEF">
              <w:rPr>
                <w:rFonts w:ascii="Times New Roman" w:eastAsia="Times New Roman" w:hAnsi="Times New Roman" w:cs="Times New Roman"/>
                <w:sz w:val="24"/>
                <w:szCs w:val="24"/>
                <w:lang w:eastAsia="ru-RU"/>
              </w:rPr>
              <w:t>виноград, технический сорт, комплексное удобрение, стимулятор роста, приживаемость саженцев, корневая система</w:t>
            </w:r>
            <w:r w:rsidRPr="00BD5EEF">
              <w:rPr>
                <w:rFonts w:ascii="Times New Roman" w:eastAsia="Times New Roman" w:hAnsi="Times New Roman" w:cs="Times New Roman"/>
                <w:iCs/>
                <w:sz w:val="24"/>
                <w:szCs w:val="24"/>
                <w:lang w:eastAsia="ru-RU"/>
              </w:rPr>
              <w:t>.</w:t>
            </w:r>
          </w:p>
        </w:tc>
        <w:tc>
          <w:tcPr>
            <w:tcW w:w="4644" w:type="dxa"/>
            <w:shd w:val="clear" w:color="auto" w:fill="auto"/>
          </w:tcPr>
          <w:p w:rsidR="00BD5EEF" w:rsidRPr="00BD5EEF" w:rsidRDefault="00BD5EEF" w:rsidP="00BD5E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BD5EEF">
              <w:rPr>
                <w:rFonts w:ascii="Times New Roman" w:eastAsia="Times New Roman" w:hAnsi="Times New Roman" w:cs="Times New Roman"/>
                <w:b/>
                <w:sz w:val="24"/>
                <w:szCs w:val="24"/>
                <w:lang w:val="en-US" w:eastAsia="ru-RU"/>
              </w:rPr>
              <w:t>Keywords:</w:t>
            </w:r>
            <w:r w:rsidRPr="00BD5EEF">
              <w:rPr>
                <w:rFonts w:ascii="Times New Roman" w:eastAsia="Times New Roman" w:hAnsi="Times New Roman" w:cs="Times New Roman"/>
                <w:i/>
                <w:sz w:val="24"/>
                <w:szCs w:val="24"/>
                <w:lang w:val="en-US" w:eastAsia="ru-RU"/>
              </w:rPr>
              <w:t xml:space="preserve"> </w:t>
            </w:r>
            <w:r w:rsidRPr="00BD5EEF">
              <w:rPr>
                <w:rFonts w:ascii="Times New Roman" w:eastAsia="Times New Roman" w:hAnsi="Times New Roman" w:cs="Times New Roman"/>
                <w:sz w:val="24"/>
                <w:szCs w:val="24"/>
                <w:lang w:val="en-US" w:eastAsia="ru-RU"/>
              </w:rPr>
              <w:t>grapes, winemaking grape varieties, complex fertilizer,</w:t>
            </w:r>
            <w:r w:rsidRPr="00BD5EEF">
              <w:rPr>
                <w:rFonts w:ascii="Courier New" w:eastAsia="Times New Roman" w:hAnsi="Courier New" w:cs="Courier New"/>
                <w:sz w:val="20"/>
                <w:szCs w:val="20"/>
                <w:lang w:val="en-US" w:eastAsia="ru-RU"/>
              </w:rPr>
              <w:t xml:space="preserve"> </w:t>
            </w:r>
            <w:r w:rsidRPr="00BD5EEF">
              <w:rPr>
                <w:rFonts w:ascii="inherit" w:eastAsia="Times New Roman" w:hAnsi="inherit" w:cs="Courier New"/>
                <w:sz w:val="24"/>
                <w:szCs w:val="24"/>
                <w:lang w:val="en-US" w:eastAsia="ru-RU"/>
              </w:rPr>
              <w:t xml:space="preserve">growth stimulants, </w:t>
            </w:r>
            <w:r w:rsidRPr="00BD5EEF">
              <w:rPr>
                <w:rFonts w:ascii="Times New Roman" w:eastAsia="Times New Roman" w:hAnsi="Times New Roman" w:cs="Times New Roman"/>
                <w:sz w:val="24"/>
                <w:szCs w:val="24"/>
                <w:lang w:val="en-US" w:eastAsia="ru-RU"/>
              </w:rPr>
              <w:t>survival seedlings, root system</w:t>
            </w:r>
          </w:p>
        </w:tc>
      </w:tr>
    </w:tbl>
    <w:p w:rsidR="00BD5EEF" w:rsidRPr="00BD5EEF" w:rsidRDefault="00BD5EEF" w:rsidP="00BD5EEF">
      <w:pPr>
        <w:spacing w:before="240" w:after="0" w:line="240" w:lineRule="auto"/>
        <w:ind w:firstLine="709"/>
        <w:jc w:val="both"/>
        <w:rPr>
          <w:rFonts w:ascii="Times New Roman" w:eastAsia="Times New Roman" w:hAnsi="Times New Roman" w:cs="Times New Roman"/>
          <w:color w:val="000000"/>
          <w:sz w:val="30"/>
          <w:szCs w:val="30"/>
          <w:lang w:eastAsia="ru-RU"/>
        </w:rPr>
      </w:pPr>
      <w:r w:rsidRPr="00BD5EEF">
        <w:rPr>
          <w:rFonts w:ascii="Times New Roman" w:eastAsia="Times New Roman" w:hAnsi="Times New Roman" w:cs="Times New Roman"/>
          <w:b/>
          <w:sz w:val="30"/>
          <w:szCs w:val="30"/>
          <w:lang w:eastAsia="ru-RU"/>
        </w:rPr>
        <w:t xml:space="preserve">Введение. </w:t>
      </w:r>
      <w:r w:rsidRPr="00BD5EEF">
        <w:rPr>
          <w:rFonts w:ascii="Times New Roman" w:eastAsia="Times New Roman" w:hAnsi="Times New Roman" w:cs="Times New Roman"/>
          <w:color w:val="000000"/>
          <w:sz w:val="30"/>
          <w:szCs w:val="30"/>
          <w:shd w:val="clear" w:color="auto" w:fill="FFFFFF"/>
          <w:lang w:eastAsia="ru-RU"/>
        </w:rPr>
        <w:t>Широкое применение удобрений – надежное и наиболее действенное средство повышения плодородия почвы и продуктивности виноградников. Особое значение в системе агротехнических мероприятий по выращиванию винограда является предпосадочное удобрение почвы. Очень в</w:t>
      </w:r>
      <w:r w:rsidRPr="00BD5EEF">
        <w:rPr>
          <w:rFonts w:ascii="Times New Roman" w:eastAsia="Times New Roman" w:hAnsi="Times New Roman" w:cs="Times New Roman"/>
          <w:color w:val="000000"/>
          <w:sz w:val="30"/>
          <w:szCs w:val="30"/>
          <w:lang w:eastAsia="ru-RU"/>
        </w:rPr>
        <w:t xml:space="preserve">ажно обогатить элементами питания корнеобитаемый слой почвы для лучшей приживаемости и обеспечения дальнейшего роста и развития виноградных саженцев [1, 2]. </w:t>
      </w:r>
    </w:p>
    <w:p w:rsidR="00BD5EEF" w:rsidRPr="00BD5EEF" w:rsidRDefault="00BD5EEF" w:rsidP="00BD5EEF">
      <w:pPr>
        <w:spacing w:after="0" w:line="240" w:lineRule="auto"/>
        <w:ind w:firstLine="709"/>
        <w:jc w:val="both"/>
        <w:rPr>
          <w:rFonts w:ascii="Times New Roman" w:eastAsia="Times New Roman" w:hAnsi="Times New Roman" w:cs="Times New Roman"/>
          <w:b/>
          <w:sz w:val="30"/>
          <w:szCs w:val="30"/>
          <w:lang w:eastAsia="ru-RU"/>
        </w:rPr>
      </w:pPr>
      <w:r w:rsidRPr="00BD5EEF">
        <w:rPr>
          <w:rFonts w:ascii="Times New Roman" w:eastAsia="Times New Roman" w:hAnsi="Times New Roman" w:cs="Times New Roman"/>
          <w:color w:val="000000"/>
          <w:sz w:val="30"/>
          <w:szCs w:val="30"/>
          <w:lang w:eastAsia="ru-RU"/>
        </w:rPr>
        <w:t xml:space="preserve">Целью наших исследований было изучение действия комплексного удобрения </w:t>
      </w:r>
      <w:r w:rsidRPr="00BD5EEF">
        <w:rPr>
          <w:rFonts w:ascii="Times New Roman" w:eastAsia="Times New Roman" w:hAnsi="Times New Roman" w:cs="Times New Roman"/>
          <w:sz w:val="30"/>
          <w:szCs w:val="30"/>
          <w:lang w:eastAsia="ru-RU"/>
        </w:rPr>
        <w:t>«ЭМИКС» на виноградные растения при посадке сорта</w:t>
      </w:r>
      <w:r w:rsidRPr="00BD5EEF">
        <w:rPr>
          <w:rFonts w:ascii="Times New Roman" w:eastAsia="Times New Roman" w:hAnsi="Times New Roman" w:cs="Times New Roman"/>
          <w:bCs/>
          <w:sz w:val="30"/>
          <w:szCs w:val="30"/>
          <w:shd w:val="clear" w:color="auto" w:fill="FFFFFF"/>
          <w:lang w:eastAsia="ru-RU"/>
        </w:rPr>
        <w:t xml:space="preserve"> </w:t>
      </w:r>
      <w:r w:rsidRPr="00BD5EEF">
        <w:rPr>
          <w:rFonts w:ascii="Times New Roman" w:eastAsia="Times New Roman" w:hAnsi="Times New Roman" w:cs="Times New Roman"/>
          <w:bCs/>
          <w:sz w:val="30"/>
          <w:szCs w:val="30"/>
          <w:shd w:val="clear" w:color="auto" w:fill="FFFFFF"/>
          <w:lang w:eastAsia="ru-RU"/>
        </w:rPr>
        <w:lastRenderedPageBreak/>
        <w:t>Каберне-Совиньон клон 685 и его влияния на агробиологические показатели</w:t>
      </w:r>
      <w:r w:rsidRPr="00BD5EEF">
        <w:rPr>
          <w:rFonts w:ascii="Times New Roman" w:eastAsia="Times New Roman" w:hAnsi="Times New Roman" w:cs="Times New Roman"/>
          <w:sz w:val="30"/>
          <w:szCs w:val="30"/>
          <w:lang w:eastAsia="ru-RU"/>
        </w:rPr>
        <w:t xml:space="preserve"> саженцев.</w:t>
      </w:r>
    </w:p>
    <w:p w:rsidR="00BD5EEF" w:rsidRPr="00BD5EEF" w:rsidRDefault="00BD5EEF" w:rsidP="00BD5EEF">
      <w:pPr>
        <w:tabs>
          <w:tab w:val="left" w:pos="9072"/>
        </w:tabs>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b/>
          <w:sz w:val="30"/>
          <w:szCs w:val="30"/>
          <w:lang w:eastAsia="ru-RU"/>
        </w:rPr>
        <w:t>Объекты, условия и методы исследований.</w:t>
      </w:r>
      <w:r w:rsidRPr="00BD5EEF">
        <w:rPr>
          <w:rFonts w:ascii="Times New Roman" w:eastAsia="Times New Roman" w:hAnsi="Times New Roman" w:cs="Times New Roman"/>
          <w:sz w:val="30"/>
          <w:szCs w:val="30"/>
          <w:lang w:eastAsia="ru-RU"/>
        </w:rPr>
        <w:t xml:space="preserve"> Изучение эффективности применения комплексного удобрения, стимулятора роста «ЭМИКС» при посадке винограда сорта </w:t>
      </w:r>
      <w:r w:rsidRPr="00BD5EEF">
        <w:rPr>
          <w:rFonts w:ascii="Times New Roman" w:eastAsia="Times New Roman" w:hAnsi="Times New Roman" w:cs="Times New Roman"/>
          <w:bCs/>
          <w:sz w:val="30"/>
          <w:szCs w:val="30"/>
          <w:shd w:val="clear" w:color="auto" w:fill="FFFFFF"/>
          <w:lang w:eastAsia="ru-RU"/>
        </w:rPr>
        <w:t xml:space="preserve">Каберне-Совиньон клон 685 </w:t>
      </w:r>
      <w:r w:rsidRPr="00BD5EEF">
        <w:rPr>
          <w:rFonts w:ascii="Times New Roman" w:eastAsia="Times New Roman" w:hAnsi="Times New Roman" w:cs="Times New Roman"/>
          <w:sz w:val="30"/>
          <w:szCs w:val="30"/>
          <w:lang w:eastAsia="ru-RU"/>
        </w:rPr>
        <w:t>проводилось сотрудниками отдела агротехники ФГБУН ВННИИВиВ «Магарач» РАН» в 2016 году в ФГУП «ПАО «Массандра» Филиал «Судак», г. Судак, восточный виноградарский район южнобережной зоны Республики Крым.</w:t>
      </w:r>
    </w:p>
    <w:p w:rsidR="00BD5EEF" w:rsidRPr="00BD5EEF" w:rsidRDefault="00BD5EEF" w:rsidP="00BD5EEF">
      <w:pPr>
        <w:tabs>
          <w:tab w:val="left" w:pos="9072"/>
        </w:tabs>
        <w:spacing w:after="0" w:line="240" w:lineRule="auto"/>
        <w:ind w:firstLine="709"/>
        <w:jc w:val="both"/>
        <w:rPr>
          <w:rFonts w:ascii="Times New Roman" w:eastAsia="Times New Roman" w:hAnsi="Times New Roman" w:cs="Times New Roman"/>
          <w:color w:val="000000"/>
          <w:sz w:val="30"/>
          <w:szCs w:val="30"/>
          <w:shd w:val="clear" w:color="auto" w:fill="FFFFFF"/>
          <w:lang w:eastAsia="ru-RU"/>
        </w:rPr>
      </w:pPr>
      <w:r w:rsidRPr="00BD5EEF">
        <w:rPr>
          <w:rFonts w:ascii="Times New Roman" w:eastAsia="Times New Roman" w:hAnsi="Times New Roman" w:cs="Times New Roman"/>
          <w:b/>
          <w:sz w:val="30"/>
          <w:szCs w:val="30"/>
          <w:lang w:eastAsia="ru-RU"/>
        </w:rPr>
        <w:t>Каберне Совиньон</w:t>
      </w:r>
      <w:r w:rsidRPr="00BD5EEF">
        <w:rPr>
          <w:rFonts w:ascii="Times New Roman" w:eastAsia="Times New Roman" w:hAnsi="Times New Roman" w:cs="Times New Roman"/>
          <w:sz w:val="30"/>
          <w:szCs w:val="30"/>
          <w:lang w:eastAsia="ru-RU"/>
        </w:rPr>
        <w:t xml:space="preserve"> – французский технический сорт винограда</w:t>
      </w:r>
      <w:r w:rsidRPr="00BD5EEF">
        <w:rPr>
          <w:rFonts w:ascii="Times New Roman" w:eastAsia="Times New Roman" w:hAnsi="Times New Roman" w:cs="Times New Roman"/>
          <w:color w:val="000000"/>
          <w:sz w:val="30"/>
          <w:szCs w:val="30"/>
          <w:lang w:eastAsia="ru-RU"/>
        </w:rPr>
        <w:t>.</w:t>
      </w:r>
      <w:r w:rsidRPr="00BD5EEF">
        <w:rPr>
          <w:rFonts w:ascii="Times New Roman" w:eastAsia="Times New Roman" w:hAnsi="Times New Roman" w:cs="Times New Roman"/>
          <w:color w:val="000000"/>
          <w:sz w:val="30"/>
          <w:szCs w:val="30"/>
          <w:shd w:val="clear" w:color="auto" w:fill="FFFFFF"/>
          <w:lang w:eastAsia="ru-RU"/>
        </w:rPr>
        <w:t xml:space="preserve"> Относится к эколого-географической группе западноевропейских сортов винограда. </w:t>
      </w:r>
      <w:r w:rsidRPr="00BD5EEF">
        <w:rPr>
          <w:rFonts w:ascii="Times New Roman" w:eastAsia="Times New Roman" w:hAnsi="Times New Roman" w:cs="Times New Roman"/>
          <w:bCs/>
          <w:sz w:val="30"/>
          <w:szCs w:val="30"/>
          <w:shd w:val="clear" w:color="auto" w:fill="FFFFFF"/>
          <w:lang w:eastAsia="ru-RU"/>
        </w:rPr>
        <w:t>Площадь, занимаемая этим сортом в Крыму – 2924,1 га.</w:t>
      </w:r>
      <w:r w:rsidRPr="00BD5EEF">
        <w:rPr>
          <w:rFonts w:ascii="Times New Roman" w:eastAsia="Times New Roman" w:hAnsi="Times New Roman" w:cs="Times New Roman"/>
          <w:color w:val="000000"/>
          <w:sz w:val="30"/>
          <w:szCs w:val="30"/>
          <w:shd w:val="clear" w:color="auto" w:fill="FFFFFF"/>
          <w:lang w:eastAsia="ru-RU"/>
        </w:rPr>
        <w:t xml:space="preserve"> Саженцы с раскидистыми побегами. Рост побегов сильный. Сорт позднего срока созревания. От начала распускания почек до технической зрелости винограда проходит 143–165 дней в зависимости от направления использования винограда. Обладает повышенной устойчивостью сорта к </w:t>
      </w:r>
      <w:hyperlink r:id="rId6" w:history="1">
        <w:r w:rsidRPr="00BD5EEF">
          <w:rPr>
            <w:rFonts w:ascii="Times New Roman" w:eastAsia="Times New Roman" w:hAnsi="Times New Roman" w:cs="Times New Roman"/>
            <w:color w:val="000000"/>
            <w:sz w:val="30"/>
            <w:szCs w:val="30"/>
            <w:shd w:val="clear" w:color="auto" w:fill="FFFFFF"/>
            <w:lang w:eastAsia="ru-RU"/>
          </w:rPr>
          <w:t>милдью</w:t>
        </w:r>
      </w:hyperlink>
      <w:r w:rsidRPr="00BD5EEF">
        <w:rPr>
          <w:rFonts w:ascii="Times New Roman" w:eastAsia="Times New Roman" w:hAnsi="Times New Roman" w:cs="Times New Roman"/>
          <w:color w:val="000000"/>
          <w:sz w:val="30"/>
          <w:szCs w:val="30"/>
          <w:shd w:val="clear" w:color="auto" w:fill="FFFFFF"/>
          <w:lang w:eastAsia="ru-RU"/>
        </w:rPr>
        <w:t xml:space="preserve"> и </w:t>
      </w:r>
      <w:hyperlink r:id="rId7" w:history="1">
        <w:r w:rsidRPr="00BD5EEF">
          <w:rPr>
            <w:rFonts w:ascii="Times New Roman" w:eastAsia="Times New Roman" w:hAnsi="Times New Roman" w:cs="Times New Roman"/>
            <w:color w:val="000000"/>
            <w:sz w:val="30"/>
            <w:szCs w:val="30"/>
            <w:shd w:val="clear" w:color="auto" w:fill="FFFFFF"/>
            <w:lang w:eastAsia="ru-RU"/>
          </w:rPr>
          <w:t>серой гнили</w:t>
        </w:r>
      </w:hyperlink>
      <w:r w:rsidRPr="00BD5EEF">
        <w:rPr>
          <w:rFonts w:ascii="Times New Roman" w:eastAsia="Times New Roman" w:hAnsi="Times New Roman" w:cs="Times New Roman"/>
          <w:color w:val="000000"/>
          <w:sz w:val="30"/>
          <w:szCs w:val="30"/>
          <w:lang w:eastAsia="ru-RU"/>
        </w:rPr>
        <w:t xml:space="preserve">. </w:t>
      </w:r>
      <w:r w:rsidRPr="00BD5EEF">
        <w:rPr>
          <w:rFonts w:ascii="Times New Roman" w:eastAsia="Times New Roman" w:hAnsi="Times New Roman" w:cs="Times New Roman"/>
          <w:color w:val="000000"/>
          <w:sz w:val="30"/>
          <w:szCs w:val="30"/>
          <w:shd w:val="clear" w:color="auto" w:fill="FFFFFF"/>
          <w:lang w:eastAsia="ru-RU"/>
        </w:rPr>
        <w:t xml:space="preserve">Урожай винограда используют в основном для приготовления марочных красных столовых вин, а также в купаж для получения высококачественных шампанских виноматериалов, соков. </w:t>
      </w:r>
    </w:p>
    <w:p w:rsidR="00BD5EEF" w:rsidRPr="00BD5EEF" w:rsidRDefault="00BD5EEF" w:rsidP="00BD5EEF">
      <w:pPr>
        <w:tabs>
          <w:tab w:val="left" w:pos="9072"/>
        </w:tabs>
        <w:spacing w:after="0" w:line="240" w:lineRule="auto"/>
        <w:ind w:firstLine="709"/>
        <w:jc w:val="both"/>
        <w:rPr>
          <w:rFonts w:ascii="Times New Roman" w:eastAsia="Times New Roman" w:hAnsi="Times New Roman" w:cs="Times New Roman"/>
          <w:bCs/>
          <w:sz w:val="30"/>
          <w:szCs w:val="30"/>
          <w:shd w:val="clear" w:color="auto" w:fill="FFFFFF"/>
          <w:lang w:eastAsia="ru-RU"/>
        </w:rPr>
      </w:pPr>
      <w:r w:rsidRPr="00BD5EEF">
        <w:rPr>
          <w:rFonts w:ascii="Times New Roman" w:eastAsia="Times New Roman" w:hAnsi="Times New Roman" w:cs="Times New Roman"/>
          <w:b/>
          <w:bCs/>
          <w:sz w:val="30"/>
          <w:szCs w:val="30"/>
          <w:shd w:val="clear" w:color="auto" w:fill="FFFFFF"/>
          <w:lang w:eastAsia="ru-RU"/>
        </w:rPr>
        <w:t>Каберне Совиньон клон 685</w:t>
      </w:r>
      <w:r w:rsidRPr="00BD5EEF">
        <w:rPr>
          <w:rFonts w:ascii="Times New Roman" w:eastAsia="Times New Roman" w:hAnsi="Times New Roman" w:cs="Times New Roman"/>
          <w:bCs/>
          <w:sz w:val="30"/>
          <w:szCs w:val="30"/>
          <w:shd w:val="clear" w:color="auto" w:fill="FFFFFF"/>
          <w:lang w:eastAsia="ru-RU"/>
        </w:rPr>
        <w:t xml:space="preserve"> отличается высокими показателями плодоносности побегов. Доля плодоносных побегов от общей нагрузки составляет 93 %. Характеризуется крупными гроздями весом до 168 граммов. Высокая плодоносность и крупные размеры гроздей обеспечивают высокую урожайность клона до 6,7 кг винограда с куста </w:t>
      </w:r>
      <w:r w:rsidRPr="00BD5EEF">
        <w:rPr>
          <w:rFonts w:ascii="Times New Roman" w:eastAsia="Times New Roman" w:hAnsi="Times New Roman" w:cs="Times New Roman"/>
          <w:color w:val="000000"/>
          <w:sz w:val="30"/>
          <w:szCs w:val="30"/>
          <w:lang w:eastAsia="ru-RU"/>
        </w:rPr>
        <w:t>[9].</w:t>
      </w:r>
    </w:p>
    <w:p w:rsidR="00BD5EEF" w:rsidRPr="00BD5EEF" w:rsidRDefault="00BD5EEF" w:rsidP="00BD5EEF">
      <w:pPr>
        <w:tabs>
          <w:tab w:val="left" w:pos="9072"/>
        </w:tabs>
        <w:spacing w:after="0" w:line="240" w:lineRule="auto"/>
        <w:ind w:firstLine="53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Испытываемый препарат «ЭМИКС» – минеральный концентрат универсального действия, подкормка для растений. Предназначен для оздоровления и восстановления микрофлоры почвы, а также для эффективного питания растений. Концентрат готовится с добавлением природных гуматов и цеолитов, глубоко ферментированных симбиозом эффективных микроорганизмов. Имеет богатейшую органическую и минеральную составляющие, что позволяет с большим эффектом использовать его в качестве подкормки.</w:t>
      </w:r>
    </w:p>
    <w:p w:rsidR="00BD5EEF" w:rsidRPr="00BD5EEF" w:rsidRDefault="00BD5EEF" w:rsidP="00BD5EEF">
      <w:pPr>
        <w:tabs>
          <w:tab w:val="left" w:pos="9072"/>
        </w:tabs>
        <w:spacing w:after="0" w:line="240" w:lineRule="auto"/>
        <w:ind w:firstLine="709"/>
        <w:jc w:val="both"/>
        <w:rPr>
          <w:rFonts w:ascii="Times New Roman" w:eastAsia="Times New Roman" w:hAnsi="Times New Roman" w:cs="Times New Roman"/>
          <w:sz w:val="30"/>
          <w:szCs w:val="30"/>
          <w:u w:val="single"/>
          <w:lang w:eastAsia="ru-RU"/>
        </w:rPr>
      </w:pPr>
      <w:r w:rsidRPr="00BD5EEF">
        <w:rPr>
          <w:rFonts w:ascii="Times New Roman" w:eastAsia="Times New Roman" w:hAnsi="Times New Roman" w:cs="Times New Roman"/>
          <w:sz w:val="30"/>
          <w:szCs w:val="30"/>
          <w:u w:val="single"/>
          <w:lang w:eastAsia="ru-RU"/>
        </w:rPr>
        <w:t>Препарат «ЭМИКС» предназначен:</w:t>
      </w:r>
    </w:p>
    <w:p w:rsidR="00BD5EEF" w:rsidRPr="00BD5EEF" w:rsidRDefault="00BD5EEF" w:rsidP="00BD5EEF">
      <w:pPr>
        <w:tabs>
          <w:tab w:val="left" w:pos="9072"/>
        </w:tabs>
        <w:spacing w:after="0" w:line="240" w:lineRule="auto"/>
        <w:ind w:firstLine="53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xml:space="preserve">– для непосредственного применения в сухом виде в почву и под растения; </w:t>
      </w:r>
    </w:p>
    <w:p w:rsidR="00BD5EEF" w:rsidRPr="00BD5EEF" w:rsidRDefault="00BD5EEF" w:rsidP="00BD5EEF">
      <w:pPr>
        <w:tabs>
          <w:tab w:val="left" w:pos="9072"/>
        </w:tabs>
        <w:spacing w:after="0" w:line="240" w:lineRule="auto"/>
        <w:ind w:firstLine="540"/>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в качестве закваски для приготовления жидкого концентрата и дальнейшего его применения в разведении 1:1000 для корневой подкормки растений.</w:t>
      </w:r>
    </w:p>
    <w:p w:rsidR="00BD5EEF" w:rsidRPr="00BD5EEF" w:rsidRDefault="00BD5EEF" w:rsidP="00BD5EEF">
      <w:pPr>
        <w:tabs>
          <w:tab w:val="left" w:pos="9072"/>
        </w:tabs>
        <w:spacing w:after="0" w:line="240" w:lineRule="auto"/>
        <w:ind w:firstLine="709"/>
        <w:jc w:val="both"/>
        <w:rPr>
          <w:rFonts w:ascii="Times New Roman" w:eastAsia="Times New Roman" w:hAnsi="Times New Roman" w:cs="Times New Roman"/>
          <w:sz w:val="30"/>
          <w:szCs w:val="30"/>
          <w:u w:val="single"/>
          <w:lang w:eastAsia="ru-RU"/>
        </w:rPr>
      </w:pPr>
      <w:r w:rsidRPr="00BD5EEF">
        <w:rPr>
          <w:rFonts w:ascii="Times New Roman" w:eastAsia="Times New Roman" w:hAnsi="Times New Roman" w:cs="Times New Roman"/>
          <w:sz w:val="30"/>
          <w:szCs w:val="30"/>
          <w:u w:val="single"/>
          <w:lang w:eastAsia="ru-RU"/>
        </w:rPr>
        <w:t>Предполагаемое действие препарата:</w:t>
      </w:r>
    </w:p>
    <w:p w:rsidR="00BD5EEF" w:rsidRPr="00BD5EEF" w:rsidRDefault="00BD5EEF" w:rsidP="00BD5EEF">
      <w:pPr>
        <w:tabs>
          <w:tab w:val="left" w:pos="9072"/>
        </w:tabs>
        <w:spacing w:after="0" w:line="240" w:lineRule="auto"/>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lastRenderedPageBreak/>
        <w:t>– выступает в роли накопителя и регулятора питательных элементов почвы;</w:t>
      </w:r>
    </w:p>
    <w:p w:rsidR="00BD5EEF" w:rsidRPr="00BD5EEF" w:rsidRDefault="00BD5EEF" w:rsidP="00BD5EEF">
      <w:pPr>
        <w:tabs>
          <w:tab w:val="left" w:pos="9072"/>
        </w:tabs>
        <w:spacing w:after="0" w:line="240" w:lineRule="auto"/>
        <w:ind w:firstLine="540"/>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восстанавливает естественное плодородие почвы;</w:t>
      </w:r>
    </w:p>
    <w:p w:rsidR="00BD5EEF" w:rsidRPr="00BD5EEF" w:rsidRDefault="00BD5EEF" w:rsidP="00BD5EEF">
      <w:pPr>
        <w:tabs>
          <w:tab w:val="left" w:pos="9072"/>
        </w:tabs>
        <w:spacing w:after="0" w:line="240" w:lineRule="auto"/>
        <w:ind w:firstLine="540"/>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поддерживает необходимый уровень влажности почвы;</w:t>
      </w:r>
    </w:p>
    <w:p w:rsidR="00BD5EEF" w:rsidRPr="00BD5EEF" w:rsidRDefault="00BD5EEF" w:rsidP="00BD5EEF">
      <w:pPr>
        <w:tabs>
          <w:tab w:val="left" w:pos="9072"/>
        </w:tabs>
        <w:spacing w:after="0" w:line="240" w:lineRule="auto"/>
        <w:ind w:firstLine="540"/>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положительно влияет на рост и развитие растений;</w:t>
      </w:r>
    </w:p>
    <w:p w:rsidR="00BD5EEF" w:rsidRPr="00BD5EEF" w:rsidRDefault="00BD5EEF" w:rsidP="00BD5EEF">
      <w:pPr>
        <w:tabs>
          <w:tab w:val="left" w:pos="9072"/>
        </w:tabs>
        <w:spacing w:after="0" w:line="240" w:lineRule="auto"/>
        <w:ind w:firstLine="540"/>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повышает урожайность;</w:t>
      </w:r>
    </w:p>
    <w:p w:rsidR="00BD5EEF" w:rsidRPr="00BD5EEF" w:rsidRDefault="00BD5EEF" w:rsidP="00BD5EEF">
      <w:pPr>
        <w:tabs>
          <w:tab w:val="left" w:pos="9072"/>
        </w:tabs>
        <w:spacing w:after="0" w:line="240" w:lineRule="auto"/>
        <w:ind w:firstLine="540"/>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улучшает качество продукции;</w:t>
      </w:r>
    </w:p>
    <w:p w:rsidR="00BD5EEF" w:rsidRPr="00BD5EEF" w:rsidRDefault="00BD5EEF" w:rsidP="00BD5EEF">
      <w:pPr>
        <w:tabs>
          <w:tab w:val="left" w:pos="9072"/>
        </w:tabs>
        <w:spacing w:after="0" w:line="240" w:lineRule="auto"/>
        <w:ind w:firstLine="540"/>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ускоряет сроки созревания урожая;</w:t>
      </w:r>
    </w:p>
    <w:p w:rsidR="00BD5EEF" w:rsidRPr="00BD5EEF" w:rsidRDefault="00BD5EEF" w:rsidP="00BD5EEF">
      <w:pPr>
        <w:tabs>
          <w:tab w:val="left" w:pos="9072"/>
        </w:tabs>
        <w:spacing w:after="0" w:line="240" w:lineRule="auto"/>
        <w:ind w:firstLine="53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увеличивает сроки хранения урожая.</w:t>
      </w:r>
    </w:p>
    <w:p w:rsidR="00BD5EEF" w:rsidRPr="00BD5EEF" w:rsidRDefault="00BD5EEF" w:rsidP="00BD5EEF">
      <w:pPr>
        <w:spacing w:after="0" w:line="240" w:lineRule="auto"/>
        <w:ind w:firstLine="709"/>
        <w:jc w:val="both"/>
        <w:rPr>
          <w:rFonts w:ascii="Times New Roman" w:eastAsia="Times New Roman" w:hAnsi="Times New Roman" w:cs="Times New Roman"/>
          <w:color w:val="000000"/>
          <w:sz w:val="30"/>
          <w:szCs w:val="30"/>
          <w:shd w:val="clear" w:color="auto" w:fill="FFFFFF"/>
          <w:lang w:eastAsia="ru-RU"/>
        </w:rPr>
      </w:pPr>
      <w:r w:rsidRPr="00BD5EEF">
        <w:rPr>
          <w:rFonts w:ascii="Times New Roman" w:eastAsia="Times New Roman" w:hAnsi="Times New Roman" w:cs="Times New Roman"/>
          <w:b/>
          <w:sz w:val="30"/>
          <w:szCs w:val="30"/>
          <w:lang w:eastAsia="ru-RU"/>
        </w:rPr>
        <w:t>Схема полевого опыта.</w:t>
      </w:r>
      <w:r w:rsidRPr="00BD5EEF">
        <w:rPr>
          <w:rFonts w:ascii="Times New Roman" w:eastAsia="Times New Roman" w:hAnsi="Times New Roman" w:cs="Times New Roman"/>
          <w:bCs/>
          <w:sz w:val="30"/>
          <w:szCs w:val="30"/>
          <w:shd w:val="clear" w:color="auto" w:fill="FFFFFF"/>
          <w:lang w:eastAsia="ru-RU"/>
        </w:rPr>
        <w:t xml:space="preserve"> Посадка молодого виноградника проводилась в апреле 2016 года.</w:t>
      </w:r>
      <w:r w:rsidRPr="00BD5EEF">
        <w:rPr>
          <w:rFonts w:ascii="Times New Roman" w:eastAsia="Times New Roman" w:hAnsi="Times New Roman" w:cs="Times New Roman"/>
          <w:color w:val="000000"/>
          <w:sz w:val="30"/>
          <w:szCs w:val="30"/>
          <w:shd w:val="clear" w:color="auto" w:fill="FFFFFF"/>
          <w:lang w:eastAsia="ru-RU"/>
        </w:rPr>
        <w:t xml:space="preserve"> </w:t>
      </w:r>
      <w:r w:rsidRPr="00BD5EEF">
        <w:rPr>
          <w:rFonts w:ascii="Times New Roman" w:eastAsia="Times New Roman" w:hAnsi="Times New Roman" w:cs="Times New Roman"/>
          <w:bCs/>
          <w:sz w:val="30"/>
          <w:szCs w:val="30"/>
          <w:shd w:val="clear" w:color="auto" w:fill="FFFFFF"/>
          <w:lang w:eastAsia="ru-RU"/>
        </w:rPr>
        <w:t xml:space="preserve">Саженцы производства Сербии. В качестве подвоя использовался подвойный сорт – Берландиери × Рипариа Кобер 5ББ. Схема посадки 3,0 × 1,25 м, в ряду 80 кустов. </w:t>
      </w:r>
      <w:r w:rsidRPr="00BD5EEF">
        <w:rPr>
          <w:rFonts w:ascii="Times New Roman" w:eastAsia="Times New Roman" w:hAnsi="Times New Roman" w:cs="Times New Roman"/>
          <w:sz w:val="30"/>
          <w:szCs w:val="30"/>
          <w:lang w:eastAsia="ru-RU"/>
        </w:rPr>
        <w:t>Вид исследований: полевой мелкоделяночный однофакторный опыт на производственном массиве (табл. 1).</w:t>
      </w:r>
    </w:p>
    <w:p w:rsidR="00BD5EEF" w:rsidRPr="00BD5EEF" w:rsidRDefault="00BD5EEF" w:rsidP="00BD5EEF">
      <w:pPr>
        <w:spacing w:before="240" w:after="0" w:line="240" w:lineRule="auto"/>
        <w:jc w:val="right"/>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Таблица 1</w:t>
      </w:r>
    </w:p>
    <w:p w:rsidR="00BD5EEF" w:rsidRPr="00BD5EEF" w:rsidRDefault="00BD5EEF" w:rsidP="00BD5EEF">
      <w:pPr>
        <w:spacing w:after="0" w:line="240" w:lineRule="auto"/>
        <w:jc w:val="center"/>
        <w:rPr>
          <w:rFonts w:ascii="Times New Roman" w:eastAsia="Times New Roman" w:hAnsi="Times New Roman" w:cs="Times New Roman"/>
          <w:b/>
          <w:sz w:val="24"/>
          <w:szCs w:val="24"/>
          <w:lang w:eastAsia="ru-RU"/>
        </w:rPr>
      </w:pPr>
      <w:r w:rsidRPr="00BD5EEF">
        <w:rPr>
          <w:rFonts w:ascii="Times New Roman" w:eastAsia="Times New Roman" w:hAnsi="Times New Roman" w:cs="Times New Roman"/>
          <w:sz w:val="24"/>
          <w:szCs w:val="24"/>
          <w:lang w:eastAsia="ru-RU"/>
        </w:rPr>
        <w:t xml:space="preserve"> </w:t>
      </w:r>
      <w:r w:rsidRPr="00BD5EEF">
        <w:rPr>
          <w:rFonts w:ascii="Times New Roman" w:eastAsia="Times New Roman" w:hAnsi="Times New Roman" w:cs="Times New Roman"/>
          <w:b/>
          <w:sz w:val="24"/>
          <w:szCs w:val="24"/>
          <w:lang w:eastAsia="ru-RU"/>
        </w:rPr>
        <w:t xml:space="preserve">Схема полевого опыта по испытанию эффективности применения комплексного удобрения, симулятора роста «ЭМИКС» при посадке винограда </w:t>
      </w:r>
    </w:p>
    <w:p w:rsidR="00BD5EEF" w:rsidRPr="00BD5EEF" w:rsidRDefault="00BD5EEF" w:rsidP="00BD5EEF">
      <w:pPr>
        <w:spacing w:after="120" w:line="240" w:lineRule="auto"/>
        <w:jc w:val="center"/>
        <w:rPr>
          <w:rFonts w:ascii="Times New Roman" w:eastAsia="Times New Roman" w:hAnsi="Times New Roman" w:cs="Times New Roman"/>
          <w:b/>
          <w:sz w:val="24"/>
          <w:szCs w:val="24"/>
          <w:lang w:eastAsia="ru-RU"/>
        </w:rPr>
      </w:pPr>
      <w:r w:rsidRPr="00BD5EEF">
        <w:rPr>
          <w:rFonts w:ascii="Times New Roman" w:eastAsia="Times New Roman" w:hAnsi="Times New Roman" w:cs="Times New Roman"/>
          <w:b/>
          <w:sz w:val="24"/>
          <w:szCs w:val="24"/>
          <w:lang w:eastAsia="ru-RU"/>
        </w:rPr>
        <w:t>Каберне-Совиньон клон 685</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212"/>
        <w:gridCol w:w="1501"/>
        <w:gridCol w:w="2148"/>
        <w:gridCol w:w="2160"/>
      </w:tblGrid>
      <w:tr w:rsidR="00BD5EEF" w:rsidRPr="00BD5EEF" w:rsidTr="00D539E6">
        <w:trPr>
          <w:trHeight w:val="283"/>
          <w:jc w:val="center"/>
        </w:trPr>
        <w:tc>
          <w:tcPr>
            <w:tcW w:w="205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Варианты опыта</w:t>
            </w:r>
          </w:p>
        </w:tc>
        <w:tc>
          <w:tcPr>
            <w:tcW w:w="121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Площадь, га</w:t>
            </w:r>
          </w:p>
        </w:tc>
        <w:tc>
          <w:tcPr>
            <w:tcW w:w="150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Кол-во</w:t>
            </w:r>
          </w:p>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рядов, шт.</w:t>
            </w:r>
          </w:p>
        </w:tc>
        <w:tc>
          <w:tcPr>
            <w:tcW w:w="2148"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Кол-во учетных</w:t>
            </w:r>
          </w:p>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саженцев, шт.</w:t>
            </w:r>
          </w:p>
        </w:tc>
        <w:tc>
          <w:tcPr>
            <w:tcW w:w="2160" w:type="dxa"/>
            <w:shd w:val="clear" w:color="auto" w:fill="auto"/>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Нормы</w:t>
            </w:r>
          </w:p>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 xml:space="preserve"> применения </w:t>
            </w:r>
          </w:p>
          <w:p w:rsidR="00BD5EEF" w:rsidRPr="00BD5EEF" w:rsidRDefault="00BD5EEF" w:rsidP="00BD5EEF">
            <w:pPr>
              <w:spacing w:after="0" w:line="240" w:lineRule="auto"/>
              <w:jc w:val="center"/>
              <w:rPr>
                <w:rFonts w:ascii="Times New Roman" w:eastAsia="Times New Roman" w:hAnsi="Times New Roman" w:cs="Times New Roman"/>
                <w:sz w:val="24"/>
                <w:szCs w:val="24"/>
                <w:lang w:val="en-US" w:eastAsia="ru-RU"/>
              </w:rPr>
            </w:pPr>
            <w:r w:rsidRPr="00BD5EEF">
              <w:rPr>
                <w:rFonts w:ascii="Times New Roman" w:eastAsia="Times New Roman" w:hAnsi="Times New Roman" w:cs="Times New Roman"/>
                <w:sz w:val="24"/>
                <w:szCs w:val="24"/>
                <w:lang w:eastAsia="ru-RU"/>
              </w:rPr>
              <w:t>препарата</w:t>
            </w:r>
          </w:p>
        </w:tc>
      </w:tr>
      <w:tr w:rsidR="00BD5EEF" w:rsidRPr="00BD5EEF" w:rsidTr="00D539E6">
        <w:trPr>
          <w:trHeight w:val="283"/>
          <w:jc w:val="center"/>
        </w:trPr>
        <w:tc>
          <w:tcPr>
            <w:tcW w:w="9072" w:type="dxa"/>
            <w:gridSpan w:val="5"/>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в жидком виде</w:t>
            </w:r>
          </w:p>
        </w:tc>
      </w:tr>
      <w:tr w:rsidR="00BD5EEF" w:rsidRPr="00BD5EEF" w:rsidTr="00D539E6">
        <w:trPr>
          <w:trHeight w:val="283"/>
          <w:jc w:val="center"/>
        </w:trPr>
        <w:tc>
          <w:tcPr>
            <w:tcW w:w="2051" w:type="dxa"/>
            <w:shd w:val="clear" w:color="auto" w:fill="auto"/>
            <w:vAlign w:val="center"/>
          </w:tcPr>
          <w:p w:rsidR="00BD5EEF" w:rsidRPr="00BD5EEF" w:rsidRDefault="00BD5EEF" w:rsidP="00BD5EEF">
            <w:pPr>
              <w:spacing w:after="0" w:line="240" w:lineRule="auto"/>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I</w:t>
            </w:r>
            <w:r w:rsidRPr="00BD5EEF">
              <w:rPr>
                <w:rFonts w:ascii="Times New Roman" w:eastAsia="Times New Roman" w:hAnsi="Times New Roman" w:cs="Times New Roman"/>
                <w:sz w:val="24"/>
                <w:szCs w:val="24"/>
                <w:lang w:eastAsia="ru-RU"/>
              </w:rPr>
              <w:t xml:space="preserve"> Вариант (внесение при посадке с водой)</w:t>
            </w:r>
          </w:p>
        </w:tc>
        <w:tc>
          <w:tcPr>
            <w:tcW w:w="121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0,24</w:t>
            </w:r>
          </w:p>
        </w:tc>
        <w:tc>
          <w:tcPr>
            <w:tcW w:w="150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8</w:t>
            </w:r>
          </w:p>
        </w:tc>
        <w:tc>
          <w:tcPr>
            <w:tcW w:w="2148"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640</w:t>
            </w:r>
          </w:p>
        </w:tc>
        <w:tc>
          <w:tcPr>
            <w:tcW w:w="216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 xml:space="preserve">1 л препарата </w:t>
            </w:r>
          </w:p>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на 1000 л воды</w:t>
            </w:r>
          </w:p>
        </w:tc>
      </w:tr>
      <w:tr w:rsidR="00BD5EEF" w:rsidRPr="00BD5EEF" w:rsidTr="00D539E6">
        <w:trPr>
          <w:trHeight w:val="283"/>
          <w:jc w:val="center"/>
        </w:trPr>
        <w:tc>
          <w:tcPr>
            <w:tcW w:w="9072" w:type="dxa"/>
            <w:gridSpan w:val="5"/>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в сухом виде</w:t>
            </w:r>
          </w:p>
        </w:tc>
      </w:tr>
      <w:tr w:rsidR="00BD5EEF" w:rsidRPr="00BD5EEF" w:rsidTr="00D539E6">
        <w:trPr>
          <w:trHeight w:val="283"/>
          <w:jc w:val="center"/>
        </w:trPr>
        <w:tc>
          <w:tcPr>
            <w:tcW w:w="2051" w:type="dxa"/>
            <w:shd w:val="clear" w:color="auto" w:fill="auto"/>
            <w:vAlign w:val="center"/>
          </w:tcPr>
          <w:p w:rsidR="00BD5EEF" w:rsidRPr="00BD5EEF" w:rsidRDefault="00BD5EEF" w:rsidP="00BD5EEF">
            <w:pPr>
              <w:spacing w:after="0" w:line="240" w:lineRule="auto"/>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II</w:t>
            </w:r>
            <w:r w:rsidRPr="00BD5EEF">
              <w:rPr>
                <w:rFonts w:ascii="Times New Roman" w:eastAsia="Times New Roman" w:hAnsi="Times New Roman" w:cs="Times New Roman"/>
                <w:sz w:val="24"/>
                <w:szCs w:val="24"/>
                <w:lang w:eastAsia="ru-RU"/>
              </w:rPr>
              <w:t xml:space="preserve"> Вариант (внесение при посадке в лунки)</w:t>
            </w:r>
          </w:p>
        </w:tc>
        <w:tc>
          <w:tcPr>
            <w:tcW w:w="121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0,24</w:t>
            </w:r>
          </w:p>
        </w:tc>
        <w:tc>
          <w:tcPr>
            <w:tcW w:w="150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8</w:t>
            </w:r>
          </w:p>
        </w:tc>
        <w:tc>
          <w:tcPr>
            <w:tcW w:w="2148"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640</w:t>
            </w:r>
          </w:p>
        </w:tc>
        <w:tc>
          <w:tcPr>
            <w:tcW w:w="216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 xml:space="preserve">10 г препарата </w:t>
            </w:r>
          </w:p>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в лунку</w:t>
            </w:r>
          </w:p>
        </w:tc>
      </w:tr>
      <w:tr w:rsidR="00BD5EEF" w:rsidRPr="00BD5EEF" w:rsidTr="00D539E6">
        <w:trPr>
          <w:trHeight w:val="283"/>
          <w:jc w:val="center"/>
        </w:trPr>
        <w:tc>
          <w:tcPr>
            <w:tcW w:w="2051" w:type="dxa"/>
            <w:shd w:val="clear" w:color="auto" w:fill="auto"/>
            <w:vAlign w:val="center"/>
          </w:tcPr>
          <w:p w:rsidR="00BD5EEF" w:rsidRPr="00BD5EEF" w:rsidRDefault="00BD5EEF" w:rsidP="00BD5EEF">
            <w:pPr>
              <w:spacing w:after="0" w:line="240" w:lineRule="auto"/>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Контроль (без</w:t>
            </w:r>
            <w:r w:rsidRPr="00BD5EEF">
              <w:rPr>
                <w:rFonts w:ascii="Times New Roman" w:eastAsia="Times New Roman" w:hAnsi="Times New Roman" w:cs="Times New Roman"/>
                <w:sz w:val="24"/>
                <w:szCs w:val="24"/>
                <w:lang w:val="en-US" w:eastAsia="ru-RU"/>
              </w:rPr>
              <w:t xml:space="preserve"> </w:t>
            </w:r>
            <w:r w:rsidRPr="00BD5EEF">
              <w:rPr>
                <w:rFonts w:ascii="Times New Roman" w:eastAsia="Times New Roman" w:hAnsi="Times New Roman" w:cs="Times New Roman"/>
                <w:sz w:val="24"/>
                <w:szCs w:val="24"/>
                <w:lang w:eastAsia="ru-RU"/>
              </w:rPr>
              <w:t>применения препарата)</w:t>
            </w:r>
          </w:p>
        </w:tc>
        <w:tc>
          <w:tcPr>
            <w:tcW w:w="121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0,24</w:t>
            </w:r>
          </w:p>
        </w:tc>
        <w:tc>
          <w:tcPr>
            <w:tcW w:w="150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8</w:t>
            </w:r>
          </w:p>
        </w:tc>
        <w:tc>
          <w:tcPr>
            <w:tcW w:w="2148"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640</w:t>
            </w:r>
          </w:p>
        </w:tc>
        <w:tc>
          <w:tcPr>
            <w:tcW w:w="216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w:t>
            </w:r>
          </w:p>
        </w:tc>
      </w:tr>
    </w:tbl>
    <w:p w:rsidR="00BD5EEF" w:rsidRPr="00BD5EEF" w:rsidRDefault="00BD5EEF" w:rsidP="00BD5EEF">
      <w:pPr>
        <w:spacing w:before="240"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xml:space="preserve">Площадь обработки препаратом «ЭМИКС» – 0,5 га (2 опытных варианта). Опытные варианты: </w:t>
      </w:r>
      <w:r w:rsidRPr="00BD5EEF">
        <w:rPr>
          <w:rFonts w:ascii="Times New Roman" w:eastAsia="Times New Roman" w:hAnsi="Times New Roman" w:cs="Times New Roman"/>
          <w:sz w:val="30"/>
          <w:szCs w:val="30"/>
          <w:lang w:val="en-US" w:eastAsia="ru-RU"/>
        </w:rPr>
        <w:t>I</w:t>
      </w:r>
      <w:r w:rsidRPr="00BD5EEF">
        <w:rPr>
          <w:rFonts w:ascii="Times New Roman" w:eastAsia="Times New Roman" w:hAnsi="Times New Roman" w:cs="Times New Roman"/>
          <w:sz w:val="30"/>
          <w:szCs w:val="30"/>
          <w:lang w:eastAsia="ru-RU"/>
        </w:rPr>
        <w:t xml:space="preserve"> – 8 стандартных рядов виноградника по 100 п.м. Согласно схемы посадки 3,0 × 1,25 м – 80 учетных кустов</w:t>
      </w:r>
      <w:r w:rsidRPr="00BD5EEF">
        <w:rPr>
          <w:rFonts w:ascii="Times New Roman" w:eastAsia="Times New Roman" w:hAnsi="Times New Roman" w:cs="Times New Roman"/>
          <w:sz w:val="30"/>
          <w:szCs w:val="30"/>
          <w:lang w:eastAsia="ru-RU"/>
        </w:rPr>
        <w:br/>
        <w:t xml:space="preserve"> в каждом. </w:t>
      </w:r>
      <w:r w:rsidRPr="00BD5EEF">
        <w:rPr>
          <w:rFonts w:ascii="Times New Roman" w:eastAsia="Times New Roman" w:hAnsi="Times New Roman" w:cs="Times New Roman"/>
          <w:bCs/>
          <w:sz w:val="30"/>
          <w:szCs w:val="30"/>
          <w:shd w:val="clear" w:color="auto" w:fill="FFFFFF"/>
          <w:lang w:eastAsia="ru-RU"/>
        </w:rPr>
        <w:t>Посадка саженцев производилась под гидробур с параллельным внесением</w:t>
      </w:r>
      <w:r w:rsidRPr="00BD5EEF">
        <w:rPr>
          <w:rFonts w:ascii="Times New Roman" w:eastAsia="Times New Roman" w:hAnsi="Times New Roman" w:cs="Times New Roman"/>
          <w:sz w:val="30"/>
          <w:szCs w:val="30"/>
          <w:lang w:eastAsia="ru-RU"/>
        </w:rPr>
        <w:t xml:space="preserve"> раствора препарата «ЭМИКС», приготовленного в соотношении 1 л препарата на 1000 л воды</w:t>
      </w:r>
      <w:r w:rsidRPr="00BD5EEF">
        <w:rPr>
          <w:rFonts w:ascii="Times New Roman" w:eastAsia="Times New Roman" w:hAnsi="Times New Roman" w:cs="Times New Roman"/>
          <w:bCs/>
          <w:sz w:val="30"/>
          <w:szCs w:val="30"/>
          <w:shd w:val="clear" w:color="auto" w:fill="FFFFFF"/>
          <w:lang w:eastAsia="ru-RU"/>
        </w:rPr>
        <w:t xml:space="preserve"> испытываемого препарата в жидком виде и </w:t>
      </w:r>
      <w:r w:rsidRPr="00BD5EEF">
        <w:rPr>
          <w:rFonts w:ascii="Times New Roman" w:eastAsia="Times New Roman" w:hAnsi="Times New Roman" w:cs="Times New Roman"/>
          <w:sz w:val="30"/>
          <w:szCs w:val="30"/>
          <w:lang w:val="en-US" w:eastAsia="ru-RU"/>
        </w:rPr>
        <w:t>II</w:t>
      </w:r>
      <w:r w:rsidRPr="00BD5EEF">
        <w:rPr>
          <w:rFonts w:ascii="Times New Roman" w:eastAsia="Times New Roman" w:hAnsi="Times New Roman" w:cs="Times New Roman"/>
          <w:sz w:val="30"/>
          <w:szCs w:val="30"/>
          <w:lang w:eastAsia="ru-RU"/>
        </w:rPr>
        <w:t xml:space="preserve"> – 8 стандартных рядов виноградника по 100 п.м. (80 учетных кустов в каждом), согласно схеме посадки 3,0 × 1,25 м. </w:t>
      </w:r>
      <w:r w:rsidRPr="00BD5EEF">
        <w:rPr>
          <w:rFonts w:ascii="Times New Roman" w:eastAsia="Times New Roman" w:hAnsi="Times New Roman" w:cs="Times New Roman"/>
          <w:bCs/>
          <w:sz w:val="30"/>
          <w:szCs w:val="30"/>
          <w:shd w:val="clear" w:color="auto" w:fill="FFFFFF"/>
          <w:lang w:eastAsia="ru-RU"/>
        </w:rPr>
        <w:t xml:space="preserve">Посадка саженцев производилась под гидробур с параллельным внесением 10 г сухого </w:t>
      </w:r>
      <w:r w:rsidRPr="00BD5EEF">
        <w:rPr>
          <w:rFonts w:ascii="Times New Roman" w:eastAsia="Times New Roman" w:hAnsi="Times New Roman" w:cs="Times New Roman"/>
          <w:sz w:val="30"/>
          <w:szCs w:val="30"/>
          <w:lang w:eastAsia="ru-RU"/>
        </w:rPr>
        <w:t xml:space="preserve">препарата в лунку. </w:t>
      </w:r>
    </w:p>
    <w:p w:rsidR="00BD5EEF" w:rsidRPr="00BD5EEF" w:rsidRDefault="00BD5EEF" w:rsidP="00BD5EEF">
      <w:pPr>
        <w:spacing w:after="0" w:line="240" w:lineRule="auto"/>
        <w:ind w:firstLine="709"/>
        <w:jc w:val="both"/>
        <w:rPr>
          <w:rFonts w:ascii="Times New Roman" w:eastAsia="Times New Roman" w:hAnsi="Times New Roman" w:cs="Times New Roman"/>
          <w:bCs/>
          <w:sz w:val="30"/>
          <w:szCs w:val="30"/>
          <w:shd w:val="clear" w:color="auto" w:fill="FFFFFF"/>
          <w:lang w:eastAsia="ru-RU"/>
        </w:rPr>
      </w:pPr>
      <w:r w:rsidRPr="00BD5EEF">
        <w:rPr>
          <w:rFonts w:ascii="Times New Roman" w:eastAsia="Times New Roman" w:hAnsi="Times New Roman" w:cs="Times New Roman"/>
          <w:bCs/>
          <w:sz w:val="30"/>
          <w:szCs w:val="30"/>
          <w:shd w:val="clear" w:color="auto" w:fill="FFFFFF"/>
          <w:lang w:eastAsia="ru-RU"/>
        </w:rPr>
        <w:lastRenderedPageBreak/>
        <w:t>Контроль – посадка саженцев без применения препарата.</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Перед посадкой саженцы винограда проходили необходимую подготовку. Привойная часть обрезалась на 1–2 хорошо развитых глазка, а корни подрезали, оставляя их длину 15–20 см. Перед посадкой, саженцы вымачивали в воде. Через 80 дней после посадки была произведена инвентаризация.</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Исследования проводились по общепринятым в виноградарстве методикам:</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Метеонаблюдения в год проведения исследований и их сравнение с многолетними данными;</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Оценка приживаемости саженцев винограда путем инвентаризации;</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Оценка ростовых процессов в динамике и степень вызревания однолетнего прироста в конце вегетации (прямым замером побегов);</w:t>
      </w:r>
    </w:p>
    <w:p w:rsidR="00BD5EEF" w:rsidRPr="00BD5EEF" w:rsidRDefault="00BD5EEF" w:rsidP="00BD5EEF">
      <w:pPr>
        <w:spacing w:after="0" w:line="240" w:lineRule="auto"/>
        <w:ind w:firstLine="709"/>
        <w:jc w:val="both"/>
        <w:rPr>
          <w:rFonts w:ascii="Times New Roman" w:eastAsia="Times New Roman" w:hAnsi="Times New Roman" w:cs="Times New Roman"/>
          <w:snapToGrid w:val="0"/>
          <w:sz w:val="30"/>
          <w:szCs w:val="30"/>
          <w:lang w:eastAsia="ru-RU"/>
        </w:rPr>
      </w:pPr>
      <w:r w:rsidRPr="00BD5EEF">
        <w:rPr>
          <w:rFonts w:ascii="Times New Roman" w:eastAsia="Times New Roman" w:hAnsi="Times New Roman" w:cs="Times New Roman"/>
          <w:sz w:val="30"/>
          <w:szCs w:val="30"/>
          <w:lang w:eastAsia="ru-RU"/>
        </w:rPr>
        <w:t>– О</w:t>
      </w:r>
      <w:r w:rsidRPr="00BD5EEF">
        <w:rPr>
          <w:rFonts w:ascii="Times New Roman" w:eastAsia="Times New Roman" w:hAnsi="Times New Roman" w:cs="Times New Roman"/>
          <w:snapToGrid w:val="0"/>
          <w:sz w:val="30"/>
          <w:szCs w:val="30"/>
          <w:lang w:eastAsia="ru-RU"/>
        </w:rPr>
        <w:t>пределение площади листовой поверхности (по методике Амирджанова А.Г., 1982 г.);</w:t>
      </w:r>
    </w:p>
    <w:p w:rsidR="00BD5EEF" w:rsidRPr="00BD5EEF" w:rsidRDefault="00BD5EEF" w:rsidP="00BD5EEF">
      <w:pPr>
        <w:widowControl w:val="0"/>
        <w:spacing w:after="0" w:line="240" w:lineRule="auto"/>
        <w:ind w:firstLine="709"/>
        <w:jc w:val="both"/>
        <w:rPr>
          <w:rFonts w:ascii="Times New Roman" w:eastAsia="Times New Roman" w:hAnsi="Times New Roman" w:cs="Times New Roman"/>
          <w:snapToGrid w:val="0"/>
          <w:sz w:val="30"/>
          <w:szCs w:val="30"/>
          <w:lang w:eastAsia="ru-RU"/>
        </w:rPr>
      </w:pPr>
      <w:r w:rsidRPr="00BD5EEF">
        <w:rPr>
          <w:rFonts w:ascii="Times New Roman" w:eastAsia="Times New Roman" w:hAnsi="Times New Roman" w:cs="Times New Roman"/>
          <w:snapToGrid w:val="0"/>
          <w:sz w:val="30"/>
          <w:szCs w:val="30"/>
          <w:lang w:eastAsia="ru-RU"/>
        </w:rPr>
        <w:t>– Оценка характера развития корневой системы (по методике Колесникова В.А., 1968 г.);</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napToGrid w:val="0"/>
          <w:sz w:val="30"/>
          <w:szCs w:val="30"/>
          <w:lang w:eastAsia="ru-RU"/>
        </w:rPr>
        <w:t xml:space="preserve">– </w:t>
      </w:r>
      <w:r w:rsidRPr="00BD5EEF">
        <w:rPr>
          <w:rFonts w:ascii="Times New Roman" w:eastAsia="Times New Roman" w:hAnsi="Times New Roman" w:cs="Times New Roman"/>
          <w:sz w:val="30"/>
          <w:szCs w:val="30"/>
          <w:lang w:eastAsia="ru-RU"/>
        </w:rPr>
        <w:t>Математическая обработка данных (по методике Доспехова Б.А., 1985 г.) с использованием ЭВМ, при помощи пакетов статистической программы Statistika 6.0 и пакет анализа данных электронной таблицы Excel.</w:t>
      </w:r>
    </w:p>
    <w:p w:rsidR="00BD5EEF" w:rsidRPr="00BD5EEF" w:rsidRDefault="00BD5EEF" w:rsidP="00BD5EEF">
      <w:pPr>
        <w:shd w:val="clear" w:color="auto" w:fill="FFFFFF"/>
        <w:spacing w:after="0" w:line="240" w:lineRule="auto"/>
        <w:ind w:firstLine="709"/>
        <w:jc w:val="both"/>
        <w:rPr>
          <w:rFonts w:ascii="Times New Roman" w:eastAsia="Times New Roman" w:hAnsi="Times New Roman" w:cs="Times New Roman"/>
          <w:b/>
          <w:bCs/>
          <w:sz w:val="30"/>
          <w:szCs w:val="30"/>
          <w:lang w:eastAsia="ru-RU"/>
        </w:rPr>
      </w:pPr>
      <w:r w:rsidRPr="00BD5EEF">
        <w:rPr>
          <w:rFonts w:ascii="Times New Roman" w:eastAsia="Times New Roman" w:hAnsi="Times New Roman" w:cs="Times New Roman"/>
          <w:b/>
          <w:bCs/>
          <w:sz w:val="30"/>
          <w:szCs w:val="30"/>
          <w:lang w:eastAsia="ru-RU"/>
        </w:rPr>
        <w:t xml:space="preserve">Почвенно-климатические условия местности проведения исследований. </w:t>
      </w:r>
      <w:r w:rsidRPr="00BD5EEF">
        <w:rPr>
          <w:rFonts w:ascii="Times New Roman" w:eastAsia="Times New Roman" w:hAnsi="Times New Roman" w:cs="Times New Roman"/>
          <w:bCs/>
          <w:sz w:val="30"/>
          <w:szCs w:val="30"/>
          <w:lang w:eastAsia="ru-RU"/>
        </w:rPr>
        <w:t xml:space="preserve">Наиболее распространенными почвами хозяйства являются коричневые горнолесостепые почвы. </w:t>
      </w:r>
      <w:r w:rsidRPr="00BD5EEF">
        <w:rPr>
          <w:rFonts w:ascii="Times New Roman" w:eastAsia="Times New Roman" w:hAnsi="Times New Roman" w:cs="Times New Roman"/>
          <w:sz w:val="30"/>
          <w:szCs w:val="30"/>
          <w:lang w:eastAsia="ru-RU"/>
        </w:rPr>
        <w:t>Реакция почвенного раствора в гумусовом горизонте слабокислая или нейтральная (рН 6,4–7,2). В почвах, развившихся на известняках, рН достигает 7,5–7,7, реакция слабощелочная. Сумма обменных оснований 34–37 мг-экв. Поглощающий комплекс насыщен в основном кальцием (80–90 %). Механический состав коричневых почв колеблется от среднеглинистого и тяжелосуглинистого (частиц &lt;</w:t>
      </w:r>
      <w:smartTag w:uri="urn:schemas-microsoft-com:office:smarttags" w:element="metricconverter">
        <w:smartTagPr>
          <w:attr w:name="ProductID" w:val="0,01 мм"/>
        </w:smartTagPr>
        <w:r w:rsidRPr="00BD5EEF">
          <w:rPr>
            <w:rFonts w:ascii="Times New Roman" w:eastAsia="Times New Roman" w:hAnsi="Times New Roman" w:cs="Times New Roman"/>
            <w:sz w:val="30"/>
            <w:szCs w:val="30"/>
            <w:lang w:eastAsia="ru-RU"/>
          </w:rPr>
          <w:t xml:space="preserve">0,01 </w:t>
        </w:r>
        <w:r w:rsidRPr="00BD5EEF">
          <w:rPr>
            <w:rFonts w:ascii="Times New Roman" w:eastAsia="Times New Roman" w:hAnsi="Times New Roman" w:cs="Times New Roman"/>
            <w:iCs/>
            <w:sz w:val="30"/>
            <w:szCs w:val="30"/>
            <w:lang w:eastAsia="ru-RU"/>
          </w:rPr>
          <w:t>мм</w:t>
        </w:r>
      </w:smartTag>
      <w:r w:rsidRPr="00BD5EEF">
        <w:rPr>
          <w:rFonts w:ascii="Times New Roman" w:eastAsia="Times New Roman" w:hAnsi="Times New Roman" w:cs="Times New Roman"/>
          <w:i/>
          <w:iCs/>
          <w:sz w:val="30"/>
          <w:szCs w:val="30"/>
          <w:lang w:eastAsia="ru-RU"/>
        </w:rPr>
        <w:t xml:space="preserve"> </w:t>
      </w:r>
      <w:r w:rsidRPr="00BD5EEF">
        <w:rPr>
          <w:rFonts w:ascii="Times New Roman" w:eastAsia="Times New Roman" w:hAnsi="Times New Roman" w:cs="Times New Roman"/>
          <w:sz w:val="30"/>
          <w:szCs w:val="30"/>
          <w:lang w:eastAsia="ru-RU"/>
        </w:rPr>
        <w:t>55–75 и 45–55 %) до среднесуглинистого (частиц &lt;</w:t>
      </w:r>
      <w:smartTag w:uri="urn:schemas-microsoft-com:office:smarttags" w:element="metricconverter">
        <w:smartTagPr>
          <w:attr w:name="ProductID" w:val="0,01 мм"/>
        </w:smartTagPr>
        <w:r w:rsidRPr="00BD5EEF">
          <w:rPr>
            <w:rFonts w:ascii="Times New Roman" w:eastAsia="Times New Roman" w:hAnsi="Times New Roman" w:cs="Times New Roman"/>
            <w:sz w:val="30"/>
            <w:szCs w:val="30"/>
            <w:lang w:eastAsia="ru-RU"/>
          </w:rPr>
          <w:t xml:space="preserve">0,01 </w:t>
        </w:r>
        <w:r w:rsidRPr="00BD5EEF">
          <w:rPr>
            <w:rFonts w:ascii="Times New Roman" w:eastAsia="Times New Roman" w:hAnsi="Times New Roman" w:cs="Times New Roman"/>
            <w:iCs/>
            <w:sz w:val="30"/>
            <w:szCs w:val="30"/>
            <w:lang w:eastAsia="ru-RU"/>
          </w:rPr>
          <w:t>мм</w:t>
        </w:r>
      </w:smartTag>
      <w:r w:rsidRPr="00BD5EEF">
        <w:rPr>
          <w:rFonts w:ascii="Times New Roman" w:eastAsia="Times New Roman" w:hAnsi="Times New Roman" w:cs="Times New Roman"/>
          <w:i/>
          <w:iCs/>
          <w:sz w:val="30"/>
          <w:szCs w:val="30"/>
          <w:lang w:eastAsia="ru-RU"/>
        </w:rPr>
        <w:t xml:space="preserve"> </w:t>
      </w:r>
      <w:r w:rsidRPr="00BD5EEF">
        <w:rPr>
          <w:rFonts w:ascii="Times New Roman" w:eastAsia="Times New Roman" w:hAnsi="Times New Roman" w:cs="Times New Roman"/>
          <w:sz w:val="30"/>
          <w:szCs w:val="30"/>
          <w:lang w:eastAsia="ru-RU"/>
        </w:rPr>
        <w:t xml:space="preserve">30–45 %) </w:t>
      </w:r>
      <w:r w:rsidRPr="00BD5EEF">
        <w:rPr>
          <w:rFonts w:ascii="Times New Roman" w:eastAsia="Times New Roman" w:hAnsi="Times New Roman" w:cs="Times New Roman"/>
          <w:color w:val="000000"/>
          <w:sz w:val="30"/>
          <w:szCs w:val="30"/>
          <w:lang w:eastAsia="ru-RU"/>
        </w:rPr>
        <w:t>[6].</w:t>
      </w:r>
    </w:p>
    <w:p w:rsidR="00BD5EEF" w:rsidRPr="00BD5EEF" w:rsidRDefault="00BD5EEF" w:rsidP="00BD5EEF">
      <w:pPr>
        <w:tabs>
          <w:tab w:val="left" w:pos="9072"/>
        </w:tabs>
        <w:spacing w:after="0" w:line="240" w:lineRule="auto"/>
        <w:ind w:firstLine="540"/>
        <w:jc w:val="both"/>
        <w:rPr>
          <w:rFonts w:ascii="Times New Roman" w:eastAsia="Times New Roman" w:hAnsi="Times New Roman" w:cs="Times New Roman"/>
          <w:color w:val="000000"/>
          <w:sz w:val="30"/>
          <w:szCs w:val="30"/>
          <w:lang w:eastAsia="ru-RU"/>
        </w:rPr>
      </w:pPr>
      <w:r w:rsidRPr="00BD5EEF">
        <w:rPr>
          <w:rFonts w:ascii="Times New Roman" w:eastAsia="Times New Roman" w:hAnsi="Times New Roman" w:cs="Times New Roman"/>
          <w:color w:val="000000"/>
          <w:sz w:val="30"/>
          <w:szCs w:val="30"/>
          <w:lang w:eastAsia="ru-RU"/>
        </w:rPr>
        <w:t>Среднемесячная температура за девять месяцев текущего года по данным метеостанции г. Феодосия превысила среднемноголетнюю температуру на 2,3</w:t>
      </w:r>
      <w:r w:rsidRPr="00BD5EEF">
        <w:rPr>
          <w:rFonts w:ascii="Times New Roman" w:eastAsia="Times New Roman" w:hAnsi="Times New Roman" w:cs="Times New Roman"/>
          <w:snapToGrid w:val="0"/>
          <w:color w:val="000000"/>
          <w:sz w:val="30"/>
          <w:szCs w:val="30"/>
          <w:vertAlign w:val="superscript"/>
          <w:lang w:eastAsia="ru-RU"/>
        </w:rPr>
        <w:t xml:space="preserve">° </w:t>
      </w:r>
      <w:r w:rsidRPr="00BD5EEF">
        <w:rPr>
          <w:rFonts w:ascii="Times New Roman" w:eastAsia="Times New Roman" w:hAnsi="Times New Roman" w:cs="Times New Roman"/>
          <w:snapToGrid w:val="0"/>
          <w:color w:val="000000"/>
          <w:sz w:val="30"/>
          <w:szCs w:val="30"/>
          <w:lang w:eastAsia="ru-RU"/>
        </w:rPr>
        <w:t>С</w:t>
      </w:r>
      <w:r w:rsidRPr="00BD5EEF">
        <w:rPr>
          <w:rFonts w:ascii="Times New Roman" w:eastAsia="Times New Roman" w:hAnsi="Times New Roman" w:cs="Times New Roman"/>
          <w:color w:val="000000"/>
          <w:sz w:val="30"/>
          <w:szCs w:val="30"/>
          <w:lang w:eastAsia="ru-RU"/>
        </w:rPr>
        <w:t xml:space="preserve">, а количество осадков на </w:t>
      </w:r>
      <w:smartTag w:uri="urn:schemas-microsoft-com:office:smarttags" w:element="metricconverter">
        <w:smartTagPr>
          <w:attr w:name="ProductID" w:val="53,9 мм"/>
        </w:smartTagPr>
        <w:r w:rsidRPr="00BD5EEF">
          <w:rPr>
            <w:rFonts w:ascii="Times New Roman" w:eastAsia="Times New Roman" w:hAnsi="Times New Roman" w:cs="Times New Roman"/>
            <w:color w:val="000000"/>
            <w:sz w:val="30"/>
            <w:szCs w:val="30"/>
            <w:lang w:eastAsia="ru-RU"/>
          </w:rPr>
          <w:t>53,9 мм</w:t>
        </w:r>
      </w:smartTag>
      <w:r w:rsidRPr="00BD5EEF">
        <w:rPr>
          <w:rFonts w:ascii="Times New Roman" w:eastAsia="Times New Roman" w:hAnsi="Times New Roman" w:cs="Times New Roman"/>
          <w:color w:val="000000"/>
          <w:sz w:val="30"/>
          <w:szCs w:val="30"/>
          <w:lang w:eastAsia="ru-RU"/>
        </w:rPr>
        <w:t xml:space="preserve"> больше среднемноголетней нормы за тот же период. Значение суммы активных температур за исследуемый период (январь–сентябрь) превышает среднемноголетние значения данного показателя на 526,2</w:t>
      </w:r>
      <w:r w:rsidRPr="00BD5EEF">
        <w:rPr>
          <w:rFonts w:ascii="Times New Roman" w:eastAsia="Times New Roman" w:hAnsi="Times New Roman" w:cs="Times New Roman"/>
          <w:snapToGrid w:val="0"/>
          <w:color w:val="000000"/>
          <w:sz w:val="30"/>
          <w:szCs w:val="30"/>
          <w:vertAlign w:val="superscript"/>
          <w:lang w:eastAsia="ru-RU"/>
        </w:rPr>
        <w:t>°</w:t>
      </w:r>
      <w:r w:rsidRPr="00BD5EEF">
        <w:rPr>
          <w:rFonts w:ascii="Times New Roman" w:eastAsia="Times New Roman" w:hAnsi="Times New Roman" w:cs="Times New Roman"/>
          <w:snapToGrid w:val="0"/>
          <w:color w:val="000000"/>
          <w:sz w:val="30"/>
          <w:szCs w:val="30"/>
          <w:lang w:eastAsia="ru-RU"/>
        </w:rPr>
        <w:t>С</w:t>
      </w:r>
      <w:r w:rsidRPr="00BD5EEF">
        <w:rPr>
          <w:rFonts w:ascii="Times New Roman" w:eastAsia="Times New Roman" w:hAnsi="Times New Roman" w:cs="Times New Roman"/>
          <w:color w:val="000000"/>
          <w:sz w:val="30"/>
          <w:szCs w:val="30"/>
          <w:lang w:eastAsia="ru-RU"/>
        </w:rPr>
        <w:t>.</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xml:space="preserve">Агротехника на виноградниках хозяйства характеризуется выполнением агротехнических мероприятий, запланированных согласно «Технологической карты хозяйства» по возделыванию винограда для промышленной переработки. Мероприятия по защите от вредителей и </w:t>
      </w:r>
      <w:r w:rsidRPr="00BD5EEF">
        <w:rPr>
          <w:rFonts w:ascii="Times New Roman" w:eastAsia="Times New Roman" w:hAnsi="Times New Roman" w:cs="Times New Roman"/>
          <w:sz w:val="30"/>
          <w:szCs w:val="30"/>
          <w:lang w:eastAsia="ru-RU"/>
        </w:rPr>
        <w:lastRenderedPageBreak/>
        <w:t>болезней проводились согласно «Плана защитных мероприятий хозяйства».</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b/>
          <w:sz w:val="30"/>
          <w:szCs w:val="30"/>
          <w:lang w:eastAsia="ru-RU"/>
        </w:rPr>
        <w:t>Обсуждение результатов.</w:t>
      </w:r>
      <w:r w:rsidRPr="00BD5EEF">
        <w:rPr>
          <w:rFonts w:ascii="Times New Roman" w:eastAsia="Times New Roman" w:hAnsi="Times New Roman" w:cs="Times New Roman"/>
          <w:sz w:val="30"/>
          <w:szCs w:val="30"/>
          <w:lang w:eastAsia="ru-RU"/>
        </w:rPr>
        <w:t xml:space="preserve"> Использование комплексного удобрения «ЭМИКС», независимо от формы его применения при посадке, обеспечило саженцы винограда сорта Каберне Совиньон клон 685 хорошей приживаемостью. Это объясняется увеличением поглотительной способности корневой системы в связи с разрастанием корневых волосков.</w:t>
      </w:r>
    </w:p>
    <w:p w:rsidR="00BD5EEF" w:rsidRPr="00BD5EEF" w:rsidRDefault="00BD5EEF" w:rsidP="00BD5EEF">
      <w:pPr>
        <w:spacing w:after="0" w:line="240" w:lineRule="auto"/>
        <w:ind w:firstLine="709"/>
        <w:jc w:val="both"/>
        <w:rPr>
          <w:rFonts w:ascii="Times New Roman" w:eastAsia="Times New Roman" w:hAnsi="Times New Roman" w:cs="Times New Roman"/>
          <w:color w:val="000000"/>
          <w:sz w:val="30"/>
          <w:szCs w:val="30"/>
          <w:lang w:eastAsia="ru-RU"/>
        </w:rPr>
      </w:pPr>
      <w:r w:rsidRPr="00BD5EEF">
        <w:rPr>
          <w:rFonts w:ascii="Times New Roman" w:eastAsia="Times New Roman" w:hAnsi="Times New Roman" w:cs="Times New Roman"/>
          <w:sz w:val="30"/>
          <w:szCs w:val="30"/>
          <w:lang w:eastAsia="ru-RU"/>
        </w:rPr>
        <w:t xml:space="preserve">Кусты, посаженные с применением комплексного удобрения, «ЭМИКС», </w:t>
      </w:r>
      <w:r w:rsidRPr="00BD5EEF">
        <w:rPr>
          <w:rFonts w:ascii="Times New Roman" w:eastAsia="Times New Roman" w:hAnsi="Times New Roman" w:cs="Times New Roman"/>
          <w:color w:val="000000"/>
          <w:sz w:val="30"/>
          <w:szCs w:val="30"/>
          <w:lang w:eastAsia="ru-RU"/>
        </w:rPr>
        <w:t xml:space="preserve">оказались более стрессоустойчивыми по отношению к погодным условиям, что проявилось в фенологической фазе «начало распускание почек». </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xml:space="preserve">По результатам инвентаризации в </w:t>
      </w:r>
      <w:r w:rsidRPr="00BD5EEF">
        <w:rPr>
          <w:rFonts w:ascii="Times New Roman" w:eastAsia="Times New Roman" w:hAnsi="Times New Roman" w:cs="Times New Roman"/>
          <w:sz w:val="30"/>
          <w:szCs w:val="30"/>
          <w:lang w:val="en-US" w:eastAsia="ru-RU"/>
        </w:rPr>
        <w:t>I</w:t>
      </w:r>
      <w:r w:rsidRPr="00BD5EEF">
        <w:rPr>
          <w:rFonts w:ascii="Times New Roman" w:eastAsia="Times New Roman" w:hAnsi="Times New Roman" w:cs="Times New Roman"/>
          <w:sz w:val="30"/>
          <w:szCs w:val="30"/>
          <w:lang w:eastAsia="ru-RU"/>
        </w:rPr>
        <w:t xml:space="preserve"> варианте (применение жидкой формы препарата) приживаемость составила 97,8 % саженцев, что на 19,1 % превышает значения показателя в контрольном варианте. При использовании сухой формы препарата «ЭМИКС» (вариант </w:t>
      </w:r>
      <w:r w:rsidRPr="00BD5EEF">
        <w:rPr>
          <w:rFonts w:ascii="Times New Roman" w:eastAsia="Times New Roman" w:hAnsi="Times New Roman" w:cs="Times New Roman"/>
          <w:sz w:val="30"/>
          <w:szCs w:val="30"/>
          <w:lang w:val="en-US" w:eastAsia="ru-RU"/>
        </w:rPr>
        <w:t>II</w:t>
      </w:r>
      <w:r w:rsidRPr="00BD5EEF">
        <w:rPr>
          <w:rFonts w:ascii="Times New Roman" w:eastAsia="Times New Roman" w:hAnsi="Times New Roman" w:cs="Times New Roman"/>
          <w:sz w:val="30"/>
          <w:szCs w:val="30"/>
          <w:lang w:eastAsia="ru-RU"/>
        </w:rPr>
        <w:t>) сохранилась та же тенденция: приживаемость виноградных саженцев составила 96,9 % и увеличилась по сравнению с контрольным вариантом на 18,0 % (рис.1).</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Важным показателем для оценки качества посадочного материала винограда является интенсивность роста побегов в период вегетации.</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Изучение ростовых процессов показало, что такие показатели как длина среднего побега, площадь листовой поверхности и вызревание побегов в опытных вариантах при применении минерального концентрата «ЭМИКС» характеризуются стабильным превышением значений данных показателей в контроле (табл. 2; рис. 2 и 3).</w:t>
      </w:r>
    </w:p>
    <w:p w:rsidR="00BD5EEF" w:rsidRPr="00BD5EEF" w:rsidRDefault="00BD5EEF" w:rsidP="00BD5EEF">
      <w:pPr>
        <w:spacing w:after="0" w:line="240" w:lineRule="auto"/>
        <w:ind w:firstLine="709"/>
        <w:jc w:val="both"/>
        <w:rPr>
          <w:rFonts w:ascii="Times New Roman" w:eastAsia="Times New Roman" w:hAnsi="Times New Roman" w:cs="Times New Roman"/>
          <w:sz w:val="28"/>
          <w:szCs w:val="28"/>
          <w:lang w:eastAsia="ru-RU"/>
        </w:rPr>
      </w:pPr>
    </w:p>
    <w:p w:rsidR="00BD5EEF" w:rsidRPr="00BD5EEF" w:rsidRDefault="00BD5EEF" w:rsidP="00BD5EEF">
      <w:pPr>
        <w:spacing w:after="0" w:line="240" w:lineRule="auto"/>
        <w:jc w:val="center"/>
        <w:rPr>
          <w:rFonts w:ascii="Times New Roman" w:eastAsia="Times New Roman" w:hAnsi="Times New Roman" w:cs="Times New Roman"/>
          <w:sz w:val="28"/>
          <w:szCs w:val="28"/>
          <w:lang w:eastAsia="ru-RU"/>
        </w:rPr>
      </w:pPr>
      <w:r w:rsidRPr="00BD5EEF">
        <w:rPr>
          <w:rFonts w:ascii="Times New Roman" w:eastAsia="Times New Roman" w:hAnsi="Times New Roman" w:cs="Times New Roman"/>
          <w:noProof/>
          <w:sz w:val="28"/>
          <w:szCs w:val="28"/>
          <w:lang w:eastAsia="ru-RU"/>
        </w:rPr>
        <w:drawing>
          <wp:inline distT="0" distB="0" distL="0" distR="0">
            <wp:extent cx="6105525" cy="32861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D5EEF" w:rsidRPr="00BD5EEF" w:rsidRDefault="00BD5EEF" w:rsidP="00BD5EEF">
      <w:pPr>
        <w:spacing w:before="120" w:after="240" w:line="240" w:lineRule="auto"/>
        <w:jc w:val="center"/>
        <w:rPr>
          <w:rFonts w:ascii="Times New Roman" w:eastAsia="Times New Roman" w:hAnsi="Times New Roman" w:cs="Times New Roman"/>
          <w:b/>
          <w:sz w:val="24"/>
          <w:szCs w:val="24"/>
          <w:lang w:eastAsia="ru-RU"/>
        </w:rPr>
      </w:pPr>
      <w:r w:rsidRPr="00BD5EEF">
        <w:rPr>
          <w:rFonts w:ascii="Times New Roman" w:eastAsia="Times New Roman" w:hAnsi="Times New Roman" w:cs="Times New Roman"/>
          <w:b/>
          <w:sz w:val="24"/>
          <w:szCs w:val="24"/>
          <w:lang w:eastAsia="ru-RU"/>
        </w:rPr>
        <w:lastRenderedPageBreak/>
        <w:t>Рис.1. Приживаемость виноградных саженцев сорта Каберне-Совиньон клон 685 (80 дней с момента посадки саженцев)</w:t>
      </w:r>
    </w:p>
    <w:p w:rsidR="00BD5EEF" w:rsidRPr="00BD5EEF" w:rsidRDefault="00BD5EEF" w:rsidP="00BD5EEF">
      <w:pPr>
        <w:spacing w:before="240" w:after="0" w:line="240" w:lineRule="auto"/>
        <w:jc w:val="right"/>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Таблица 2</w:t>
      </w:r>
    </w:p>
    <w:p w:rsidR="00BD5EEF" w:rsidRPr="00BD5EEF" w:rsidRDefault="00BD5EEF" w:rsidP="00BD5EEF">
      <w:pPr>
        <w:spacing w:after="0" w:line="240" w:lineRule="auto"/>
        <w:jc w:val="center"/>
        <w:rPr>
          <w:rFonts w:ascii="Times New Roman" w:eastAsia="Times New Roman" w:hAnsi="Times New Roman" w:cs="Times New Roman"/>
          <w:b/>
          <w:sz w:val="24"/>
          <w:szCs w:val="24"/>
          <w:lang w:eastAsia="ru-RU"/>
        </w:rPr>
      </w:pPr>
      <w:r w:rsidRPr="00BD5EEF">
        <w:rPr>
          <w:rFonts w:ascii="Times New Roman" w:eastAsia="Times New Roman" w:hAnsi="Times New Roman" w:cs="Times New Roman"/>
          <w:b/>
          <w:sz w:val="24"/>
          <w:szCs w:val="24"/>
          <w:lang w:eastAsia="ru-RU"/>
        </w:rPr>
        <w:t>Характеристика прироста саженцев, посаженных с применением препарата «ЭМИКС», сорт Каберне-Совиньон клон 685,</w:t>
      </w:r>
    </w:p>
    <w:p w:rsidR="00BD5EEF" w:rsidRPr="00BD5EEF" w:rsidRDefault="00BD5EEF" w:rsidP="00BD5EEF">
      <w:pPr>
        <w:spacing w:after="120" w:line="240" w:lineRule="auto"/>
        <w:jc w:val="center"/>
        <w:rPr>
          <w:rFonts w:ascii="Times New Roman" w:eastAsia="Times New Roman" w:hAnsi="Times New Roman" w:cs="Times New Roman"/>
          <w:b/>
          <w:sz w:val="24"/>
          <w:szCs w:val="24"/>
          <w:lang w:eastAsia="ru-RU"/>
        </w:rPr>
      </w:pPr>
      <w:r w:rsidRPr="00BD5EEF">
        <w:rPr>
          <w:rFonts w:ascii="Times New Roman" w:eastAsia="Times New Roman" w:hAnsi="Times New Roman" w:cs="Times New Roman"/>
          <w:b/>
          <w:sz w:val="24"/>
          <w:szCs w:val="24"/>
          <w:lang w:eastAsia="ru-RU"/>
        </w:rPr>
        <w:t>ФГУП «ПАО «Массандра» Филиал «Судак», 2016 год.</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720"/>
        <w:gridCol w:w="865"/>
        <w:gridCol w:w="896"/>
        <w:gridCol w:w="951"/>
        <w:gridCol w:w="1048"/>
        <w:gridCol w:w="843"/>
        <w:gridCol w:w="892"/>
      </w:tblGrid>
      <w:tr w:rsidR="00BD5EEF" w:rsidRPr="00BD5EEF" w:rsidTr="00D539E6">
        <w:trPr>
          <w:cantSplit/>
          <w:trHeight w:val="1483"/>
          <w:tblHeader/>
          <w:jc w:val="center"/>
        </w:trPr>
        <w:tc>
          <w:tcPr>
            <w:tcW w:w="851" w:type="dxa"/>
            <w:textDirection w:val="btLr"/>
            <w:vAlign w:val="center"/>
          </w:tcPr>
          <w:p w:rsidR="00BD5EEF" w:rsidRPr="00BD5EEF" w:rsidRDefault="00BD5EEF" w:rsidP="00BD5EEF">
            <w:pPr>
              <w:spacing w:after="0" w:line="240" w:lineRule="auto"/>
              <w:jc w:val="center"/>
              <w:rPr>
                <w:rFonts w:ascii="Times New Roman" w:eastAsia="Times New Roman" w:hAnsi="Times New Roman" w:cs="Times New Roman"/>
                <w:b/>
                <w:lang w:eastAsia="ru-RU"/>
              </w:rPr>
            </w:pPr>
            <w:r w:rsidRPr="00BD5EEF">
              <w:rPr>
                <w:rFonts w:ascii="Times New Roman" w:eastAsia="Times New Roman" w:hAnsi="Times New Roman" w:cs="Times New Roman"/>
                <w:b/>
                <w:lang w:eastAsia="ru-RU"/>
              </w:rPr>
              <w:t xml:space="preserve">Кратность </w:t>
            </w:r>
          </w:p>
          <w:p w:rsidR="00BD5EEF" w:rsidRPr="00BD5EEF" w:rsidRDefault="00BD5EEF" w:rsidP="00BD5EEF">
            <w:pPr>
              <w:spacing w:after="0" w:line="240" w:lineRule="auto"/>
              <w:jc w:val="center"/>
              <w:rPr>
                <w:rFonts w:ascii="Times New Roman" w:eastAsia="Times New Roman" w:hAnsi="Times New Roman" w:cs="Times New Roman"/>
                <w:b/>
                <w:lang w:eastAsia="ru-RU"/>
              </w:rPr>
            </w:pPr>
            <w:r w:rsidRPr="00BD5EEF">
              <w:rPr>
                <w:rFonts w:ascii="Times New Roman" w:eastAsia="Times New Roman" w:hAnsi="Times New Roman" w:cs="Times New Roman"/>
                <w:b/>
                <w:lang w:eastAsia="ru-RU"/>
              </w:rPr>
              <w:t>измерений</w:t>
            </w:r>
          </w:p>
        </w:tc>
        <w:tc>
          <w:tcPr>
            <w:tcW w:w="272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b/>
                <w:lang w:eastAsia="ru-RU"/>
              </w:rPr>
            </w:pPr>
            <w:r w:rsidRPr="00BD5EEF">
              <w:rPr>
                <w:rFonts w:ascii="Times New Roman" w:eastAsia="Times New Roman" w:hAnsi="Times New Roman" w:cs="Times New Roman"/>
                <w:b/>
                <w:lang w:eastAsia="ru-RU"/>
              </w:rPr>
              <w:t>Показатели</w:t>
            </w:r>
          </w:p>
        </w:tc>
        <w:tc>
          <w:tcPr>
            <w:tcW w:w="865" w:type="dxa"/>
            <w:shd w:val="clear" w:color="auto" w:fill="auto"/>
            <w:textDirection w:val="btLr"/>
            <w:vAlign w:val="center"/>
          </w:tcPr>
          <w:p w:rsidR="00BD5EEF" w:rsidRPr="00BD5EEF" w:rsidRDefault="00BD5EEF" w:rsidP="00BD5EEF">
            <w:pPr>
              <w:spacing w:after="0" w:line="240" w:lineRule="auto"/>
              <w:jc w:val="center"/>
              <w:rPr>
                <w:rFonts w:ascii="Times New Roman" w:eastAsia="Times New Roman" w:hAnsi="Times New Roman" w:cs="Times New Roman"/>
                <w:b/>
                <w:lang w:eastAsia="ru-RU"/>
              </w:rPr>
            </w:pPr>
            <w:r w:rsidRPr="00BD5EEF">
              <w:rPr>
                <w:rFonts w:ascii="Times New Roman" w:eastAsia="Times New Roman" w:hAnsi="Times New Roman" w:cs="Times New Roman"/>
                <w:b/>
                <w:lang w:val="en-US" w:eastAsia="ru-RU"/>
              </w:rPr>
              <w:t>I</w:t>
            </w:r>
            <w:r w:rsidRPr="00BD5EEF">
              <w:rPr>
                <w:rFonts w:ascii="Times New Roman" w:eastAsia="Times New Roman" w:hAnsi="Times New Roman" w:cs="Times New Roman"/>
                <w:b/>
                <w:lang w:eastAsia="ru-RU"/>
              </w:rPr>
              <w:t xml:space="preserve"> Вариант</w:t>
            </w:r>
          </w:p>
        </w:tc>
        <w:tc>
          <w:tcPr>
            <w:tcW w:w="896" w:type="dxa"/>
            <w:shd w:val="clear" w:color="auto" w:fill="auto"/>
            <w:textDirection w:val="btLr"/>
            <w:vAlign w:val="center"/>
          </w:tcPr>
          <w:p w:rsidR="00BD5EEF" w:rsidRPr="00BD5EEF" w:rsidRDefault="00BD5EEF" w:rsidP="00BD5EEF">
            <w:pPr>
              <w:spacing w:after="0" w:line="240" w:lineRule="auto"/>
              <w:jc w:val="center"/>
              <w:rPr>
                <w:rFonts w:ascii="Times New Roman" w:eastAsia="Times New Roman" w:hAnsi="Times New Roman" w:cs="Times New Roman"/>
                <w:b/>
                <w:lang w:eastAsia="ru-RU"/>
              </w:rPr>
            </w:pPr>
            <w:r w:rsidRPr="00BD5EEF">
              <w:rPr>
                <w:rFonts w:ascii="Times New Roman" w:eastAsia="Times New Roman" w:hAnsi="Times New Roman" w:cs="Times New Roman"/>
                <w:b/>
                <w:lang w:val="en-US" w:eastAsia="ru-RU"/>
              </w:rPr>
              <w:t>II</w:t>
            </w:r>
            <w:r w:rsidRPr="00BD5EEF">
              <w:rPr>
                <w:rFonts w:ascii="Times New Roman" w:eastAsia="Times New Roman" w:hAnsi="Times New Roman" w:cs="Times New Roman"/>
                <w:b/>
                <w:lang w:eastAsia="ru-RU"/>
              </w:rPr>
              <w:t xml:space="preserve"> Вариант</w:t>
            </w:r>
          </w:p>
        </w:tc>
        <w:tc>
          <w:tcPr>
            <w:tcW w:w="951" w:type="dxa"/>
            <w:shd w:val="clear" w:color="auto" w:fill="auto"/>
            <w:textDirection w:val="btLr"/>
            <w:vAlign w:val="center"/>
          </w:tcPr>
          <w:p w:rsidR="00BD5EEF" w:rsidRPr="00BD5EEF" w:rsidRDefault="00BD5EEF" w:rsidP="00BD5EEF">
            <w:pPr>
              <w:spacing w:after="0" w:line="240" w:lineRule="auto"/>
              <w:jc w:val="center"/>
              <w:rPr>
                <w:rFonts w:ascii="Times New Roman" w:eastAsia="Times New Roman" w:hAnsi="Times New Roman" w:cs="Times New Roman"/>
                <w:b/>
                <w:lang w:eastAsia="ru-RU"/>
              </w:rPr>
            </w:pPr>
            <w:r w:rsidRPr="00BD5EEF">
              <w:rPr>
                <w:rFonts w:ascii="Times New Roman" w:eastAsia="Times New Roman" w:hAnsi="Times New Roman" w:cs="Times New Roman"/>
                <w:b/>
                <w:lang w:eastAsia="ru-RU"/>
              </w:rPr>
              <w:t>Контроль</w:t>
            </w:r>
          </w:p>
        </w:tc>
        <w:tc>
          <w:tcPr>
            <w:tcW w:w="1048" w:type="dxa"/>
            <w:vAlign w:val="center"/>
          </w:tcPr>
          <w:p w:rsidR="00BD5EEF" w:rsidRPr="00BD5EEF" w:rsidRDefault="00BD5EEF" w:rsidP="00BD5EEF">
            <w:pPr>
              <w:spacing w:after="0" w:line="240" w:lineRule="auto"/>
              <w:jc w:val="center"/>
              <w:rPr>
                <w:rFonts w:ascii="Times New Roman" w:eastAsia="Times New Roman" w:hAnsi="Times New Roman" w:cs="Times New Roman"/>
                <w:b/>
                <w:lang w:eastAsia="ru-RU"/>
              </w:rPr>
            </w:pPr>
            <w:r w:rsidRPr="00BD5EEF">
              <w:rPr>
                <w:rFonts w:ascii="Times New Roman" w:eastAsia="Times New Roman" w:hAnsi="Times New Roman" w:cs="Times New Roman"/>
                <w:b/>
                <w:lang w:eastAsia="ru-RU"/>
              </w:rPr>
              <w:t>Ошибка опыта,</w:t>
            </w:r>
          </w:p>
        </w:tc>
        <w:tc>
          <w:tcPr>
            <w:tcW w:w="843" w:type="dxa"/>
            <w:vAlign w:val="center"/>
          </w:tcPr>
          <w:p w:rsidR="00BD5EEF" w:rsidRPr="00BD5EEF" w:rsidRDefault="00BD5EEF" w:rsidP="00BD5EEF">
            <w:pPr>
              <w:spacing w:after="0" w:line="240" w:lineRule="auto"/>
              <w:jc w:val="center"/>
              <w:rPr>
                <w:rFonts w:ascii="Times New Roman" w:eastAsia="Times New Roman" w:hAnsi="Times New Roman" w:cs="Times New Roman"/>
                <w:b/>
                <w:lang w:eastAsia="ru-RU"/>
              </w:rPr>
            </w:pPr>
            <w:r w:rsidRPr="00BD5EEF">
              <w:rPr>
                <w:rFonts w:ascii="Times New Roman" w:eastAsia="Times New Roman" w:hAnsi="Times New Roman" w:cs="Times New Roman"/>
                <w:b/>
                <w:lang w:eastAsia="ru-RU"/>
              </w:rPr>
              <w:t>НСР</w:t>
            </w:r>
            <w:r w:rsidRPr="00BD5EEF">
              <w:rPr>
                <w:rFonts w:ascii="Times New Roman" w:eastAsia="Times New Roman" w:hAnsi="Times New Roman" w:cs="Times New Roman"/>
                <w:b/>
                <w:vertAlign w:val="subscript"/>
                <w:lang w:eastAsia="ru-RU"/>
              </w:rPr>
              <w:t>05</w:t>
            </w:r>
          </w:p>
        </w:tc>
        <w:tc>
          <w:tcPr>
            <w:tcW w:w="892" w:type="dxa"/>
            <w:vAlign w:val="center"/>
          </w:tcPr>
          <w:p w:rsidR="00BD5EEF" w:rsidRPr="00BD5EEF" w:rsidRDefault="00BD5EEF" w:rsidP="00BD5EEF">
            <w:pPr>
              <w:spacing w:after="0" w:line="240" w:lineRule="auto"/>
              <w:jc w:val="center"/>
              <w:rPr>
                <w:rFonts w:ascii="Times New Roman" w:eastAsia="Times New Roman" w:hAnsi="Times New Roman" w:cs="Times New Roman"/>
                <w:b/>
                <w:lang w:val="en-US" w:eastAsia="ru-RU"/>
              </w:rPr>
            </w:pPr>
            <w:r w:rsidRPr="00BD5EEF">
              <w:rPr>
                <w:rFonts w:ascii="Times New Roman" w:eastAsia="Times New Roman" w:hAnsi="Times New Roman" w:cs="Times New Roman"/>
                <w:b/>
                <w:lang w:val="en-US" w:eastAsia="ru-RU"/>
              </w:rPr>
              <w:t>F</w:t>
            </w:r>
            <w:r w:rsidRPr="00BD5EEF">
              <w:rPr>
                <w:rFonts w:ascii="Times New Roman" w:eastAsia="Times New Roman" w:hAnsi="Times New Roman" w:cs="Times New Roman"/>
                <w:b/>
                <w:vertAlign w:val="subscript"/>
                <w:lang w:val="en-US" w:eastAsia="ru-RU"/>
              </w:rPr>
              <w:t>v</w:t>
            </w:r>
            <w:r w:rsidRPr="00BD5EEF">
              <w:rPr>
                <w:rFonts w:ascii="Times New Roman" w:eastAsia="Times New Roman" w:hAnsi="Times New Roman" w:cs="Times New Roman"/>
                <w:b/>
                <w:lang w:val="en-US" w:eastAsia="ru-RU"/>
              </w:rPr>
              <w:t xml:space="preserve"> F</w:t>
            </w:r>
            <w:r w:rsidRPr="00BD5EEF">
              <w:rPr>
                <w:rFonts w:ascii="Times New Roman" w:eastAsia="Times New Roman" w:hAnsi="Times New Roman" w:cs="Times New Roman"/>
                <w:b/>
                <w:vertAlign w:val="subscript"/>
                <w:lang w:val="en-US" w:eastAsia="ru-RU"/>
              </w:rPr>
              <w:t>05</w:t>
            </w:r>
          </w:p>
        </w:tc>
      </w:tr>
      <w:tr w:rsidR="00BD5EEF" w:rsidRPr="00BD5EEF" w:rsidTr="00D539E6">
        <w:trPr>
          <w:trHeight w:val="346"/>
          <w:jc w:val="center"/>
        </w:trPr>
        <w:tc>
          <w:tcPr>
            <w:tcW w:w="851" w:type="dxa"/>
            <w:vMerge w:val="restart"/>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1</w:t>
            </w:r>
          </w:p>
        </w:tc>
        <w:tc>
          <w:tcPr>
            <w:tcW w:w="272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Средняя длина побега, м</w:t>
            </w:r>
          </w:p>
        </w:tc>
        <w:tc>
          <w:tcPr>
            <w:tcW w:w="865"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0,33</w:t>
            </w:r>
          </w:p>
        </w:tc>
        <w:tc>
          <w:tcPr>
            <w:tcW w:w="896"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0,35</w:t>
            </w:r>
          </w:p>
        </w:tc>
        <w:tc>
          <w:tcPr>
            <w:tcW w:w="95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0,17</w:t>
            </w:r>
          </w:p>
        </w:tc>
        <w:tc>
          <w:tcPr>
            <w:tcW w:w="1048"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0,024</w:t>
            </w:r>
          </w:p>
        </w:tc>
        <w:tc>
          <w:tcPr>
            <w:tcW w:w="843"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0,07</w:t>
            </w:r>
          </w:p>
        </w:tc>
        <w:tc>
          <w:tcPr>
            <w:tcW w:w="89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F</w:t>
            </w:r>
            <w:r w:rsidRPr="00BD5EEF">
              <w:rPr>
                <w:rFonts w:ascii="Times New Roman" w:eastAsia="Times New Roman" w:hAnsi="Times New Roman" w:cs="Times New Roman"/>
                <w:sz w:val="24"/>
                <w:szCs w:val="24"/>
                <w:vertAlign w:val="subscript"/>
                <w:lang w:val="en-US" w:eastAsia="ru-RU"/>
              </w:rPr>
              <w:t>v</w:t>
            </w:r>
            <w:r w:rsidRPr="00BD5EEF">
              <w:rPr>
                <w:rFonts w:ascii="Times New Roman" w:eastAsia="Times New Roman" w:hAnsi="Times New Roman" w:cs="Times New Roman"/>
                <w:sz w:val="24"/>
                <w:szCs w:val="24"/>
                <w:lang w:val="en-US" w:eastAsia="ru-RU"/>
              </w:rPr>
              <w:t>&gt;F</w:t>
            </w:r>
            <w:r w:rsidRPr="00BD5EEF">
              <w:rPr>
                <w:rFonts w:ascii="Times New Roman" w:eastAsia="Times New Roman" w:hAnsi="Times New Roman" w:cs="Times New Roman"/>
                <w:sz w:val="24"/>
                <w:szCs w:val="24"/>
                <w:vertAlign w:val="subscript"/>
                <w:lang w:val="en-US" w:eastAsia="ru-RU"/>
              </w:rPr>
              <w:t>05</w:t>
            </w:r>
          </w:p>
        </w:tc>
      </w:tr>
      <w:tr w:rsidR="00BD5EEF" w:rsidRPr="00BD5EEF" w:rsidTr="00D539E6">
        <w:trPr>
          <w:trHeight w:val="354"/>
          <w:jc w:val="center"/>
        </w:trPr>
        <w:tc>
          <w:tcPr>
            <w:tcW w:w="851" w:type="dxa"/>
            <w:vMerge/>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p>
        </w:tc>
        <w:tc>
          <w:tcPr>
            <w:tcW w:w="272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 xml:space="preserve">Площадь листовой </w:t>
            </w:r>
          </w:p>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поверхности, м</w:t>
            </w:r>
            <w:r w:rsidRPr="00BD5EEF">
              <w:rPr>
                <w:rFonts w:ascii="Times New Roman" w:eastAsia="Times New Roman" w:hAnsi="Times New Roman" w:cs="Times New Roman"/>
                <w:sz w:val="24"/>
                <w:szCs w:val="24"/>
                <w:vertAlign w:val="superscript"/>
                <w:lang w:eastAsia="ru-RU"/>
              </w:rPr>
              <w:t>2</w:t>
            </w:r>
          </w:p>
        </w:tc>
        <w:tc>
          <w:tcPr>
            <w:tcW w:w="865"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0,14</w:t>
            </w:r>
          </w:p>
        </w:tc>
        <w:tc>
          <w:tcPr>
            <w:tcW w:w="896"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0,18</w:t>
            </w:r>
          </w:p>
        </w:tc>
        <w:tc>
          <w:tcPr>
            <w:tcW w:w="95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0,08</w:t>
            </w:r>
          </w:p>
        </w:tc>
        <w:tc>
          <w:tcPr>
            <w:tcW w:w="1048"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0,02</w:t>
            </w:r>
          </w:p>
        </w:tc>
        <w:tc>
          <w:tcPr>
            <w:tcW w:w="843"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val="en-US" w:eastAsia="ru-RU"/>
              </w:rPr>
            </w:pPr>
            <w:r w:rsidRPr="00BD5EEF">
              <w:rPr>
                <w:rFonts w:ascii="Times New Roman" w:eastAsia="Times New Roman" w:hAnsi="Times New Roman" w:cs="Times New Roman"/>
                <w:sz w:val="24"/>
                <w:szCs w:val="24"/>
                <w:lang w:eastAsia="ru-RU"/>
              </w:rPr>
              <w:t>0,0</w:t>
            </w:r>
            <w:r w:rsidRPr="00BD5EEF">
              <w:rPr>
                <w:rFonts w:ascii="Times New Roman" w:eastAsia="Times New Roman" w:hAnsi="Times New Roman" w:cs="Times New Roman"/>
                <w:sz w:val="24"/>
                <w:szCs w:val="24"/>
                <w:lang w:val="en-US" w:eastAsia="ru-RU"/>
              </w:rPr>
              <w:t>5</w:t>
            </w:r>
          </w:p>
        </w:tc>
        <w:tc>
          <w:tcPr>
            <w:tcW w:w="89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F</w:t>
            </w:r>
            <w:r w:rsidRPr="00BD5EEF">
              <w:rPr>
                <w:rFonts w:ascii="Times New Roman" w:eastAsia="Times New Roman" w:hAnsi="Times New Roman" w:cs="Times New Roman"/>
                <w:sz w:val="24"/>
                <w:szCs w:val="24"/>
                <w:vertAlign w:val="subscript"/>
                <w:lang w:val="en-US" w:eastAsia="ru-RU"/>
              </w:rPr>
              <w:t>v</w:t>
            </w:r>
            <w:r w:rsidRPr="00BD5EEF">
              <w:rPr>
                <w:rFonts w:ascii="Times New Roman" w:eastAsia="Times New Roman" w:hAnsi="Times New Roman" w:cs="Times New Roman"/>
                <w:sz w:val="24"/>
                <w:szCs w:val="24"/>
                <w:lang w:val="en-US" w:eastAsia="ru-RU"/>
              </w:rPr>
              <w:t>&gt;F</w:t>
            </w:r>
            <w:r w:rsidRPr="00BD5EEF">
              <w:rPr>
                <w:rFonts w:ascii="Times New Roman" w:eastAsia="Times New Roman" w:hAnsi="Times New Roman" w:cs="Times New Roman"/>
                <w:sz w:val="24"/>
                <w:szCs w:val="24"/>
                <w:vertAlign w:val="subscript"/>
                <w:lang w:val="en-US" w:eastAsia="ru-RU"/>
              </w:rPr>
              <w:t>05</w:t>
            </w:r>
          </w:p>
        </w:tc>
      </w:tr>
      <w:tr w:rsidR="00BD5EEF" w:rsidRPr="00BD5EEF" w:rsidTr="00D539E6">
        <w:trPr>
          <w:trHeight w:val="255"/>
          <w:jc w:val="center"/>
        </w:trPr>
        <w:tc>
          <w:tcPr>
            <w:tcW w:w="851" w:type="dxa"/>
            <w:vMerge/>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p>
        </w:tc>
        <w:tc>
          <w:tcPr>
            <w:tcW w:w="272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Облиственность, м</w:t>
            </w:r>
            <w:r w:rsidRPr="00BD5EEF">
              <w:rPr>
                <w:rFonts w:ascii="Times New Roman" w:eastAsia="Times New Roman" w:hAnsi="Times New Roman" w:cs="Times New Roman"/>
                <w:sz w:val="24"/>
                <w:szCs w:val="24"/>
                <w:vertAlign w:val="superscript"/>
                <w:lang w:eastAsia="ru-RU"/>
              </w:rPr>
              <w:t>2</w:t>
            </w:r>
            <w:r w:rsidRPr="00BD5EEF">
              <w:rPr>
                <w:rFonts w:ascii="Times New Roman" w:eastAsia="Times New Roman" w:hAnsi="Times New Roman" w:cs="Times New Roman"/>
                <w:sz w:val="24"/>
                <w:szCs w:val="24"/>
                <w:lang w:eastAsia="ru-RU"/>
              </w:rPr>
              <w:t>/п.м</w:t>
            </w:r>
          </w:p>
        </w:tc>
        <w:tc>
          <w:tcPr>
            <w:tcW w:w="865"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0,04</w:t>
            </w:r>
          </w:p>
        </w:tc>
        <w:tc>
          <w:tcPr>
            <w:tcW w:w="896"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b/>
                <w:sz w:val="24"/>
                <w:szCs w:val="24"/>
                <w:lang w:eastAsia="ru-RU"/>
              </w:rPr>
            </w:pPr>
            <w:r w:rsidRPr="00BD5EEF">
              <w:rPr>
                <w:rFonts w:ascii="Times New Roman" w:eastAsia="Times New Roman" w:hAnsi="Times New Roman" w:cs="Times New Roman"/>
                <w:sz w:val="24"/>
                <w:szCs w:val="24"/>
                <w:lang w:eastAsia="ru-RU"/>
              </w:rPr>
              <w:t>0,05</w:t>
            </w:r>
          </w:p>
        </w:tc>
        <w:tc>
          <w:tcPr>
            <w:tcW w:w="95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0,04</w:t>
            </w:r>
          </w:p>
        </w:tc>
        <w:tc>
          <w:tcPr>
            <w:tcW w:w="1048"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0,016</w:t>
            </w:r>
          </w:p>
        </w:tc>
        <w:tc>
          <w:tcPr>
            <w:tcW w:w="843"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0,05</w:t>
            </w:r>
          </w:p>
        </w:tc>
        <w:tc>
          <w:tcPr>
            <w:tcW w:w="89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F</w:t>
            </w:r>
            <w:r w:rsidRPr="00BD5EEF">
              <w:rPr>
                <w:rFonts w:ascii="Times New Roman" w:eastAsia="Times New Roman" w:hAnsi="Times New Roman" w:cs="Times New Roman"/>
                <w:sz w:val="24"/>
                <w:szCs w:val="24"/>
                <w:vertAlign w:val="subscript"/>
                <w:lang w:val="en-US" w:eastAsia="ru-RU"/>
              </w:rPr>
              <w:t>v</w:t>
            </w:r>
            <w:r w:rsidRPr="00BD5EEF">
              <w:rPr>
                <w:rFonts w:ascii="Times New Roman" w:eastAsia="Times New Roman" w:hAnsi="Times New Roman" w:cs="Times New Roman"/>
                <w:sz w:val="24"/>
                <w:szCs w:val="24"/>
                <w:lang w:val="en-US" w:eastAsia="ru-RU"/>
              </w:rPr>
              <w:t>&lt;F</w:t>
            </w:r>
            <w:r w:rsidRPr="00BD5EEF">
              <w:rPr>
                <w:rFonts w:ascii="Times New Roman" w:eastAsia="Times New Roman" w:hAnsi="Times New Roman" w:cs="Times New Roman"/>
                <w:sz w:val="24"/>
                <w:szCs w:val="24"/>
                <w:vertAlign w:val="subscript"/>
                <w:lang w:val="en-US" w:eastAsia="ru-RU"/>
              </w:rPr>
              <w:t>05</w:t>
            </w:r>
          </w:p>
        </w:tc>
      </w:tr>
      <w:tr w:rsidR="00BD5EEF" w:rsidRPr="00BD5EEF" w:rsidTr="00D539E6">
        <w:trPr>
          <w:trHeight w:val="255"/>
          <w:jc w:val="center"/>
        </w:trPr>
        <w:tc>
          <w:tcPr>
            <w:tcW w:w="851" w:type="dxa"/>
            <w:vMerge w:val="restart"/>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2</w:t>
            </w:r>
          </w:p>
        </w:tc>
        <w:tc>
          <w:tcPr>
            <w:tcW w:w="272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 xml:space="preserve">Средняя </w:t>
            </w:r>
          </w:p>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длина побега, м</w:t>
            </w:r>
          </w:p>
        </w:tc>
        <w:tc>
          <w:tcPr>
            <w:tcW w:w="865"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0,53</w:t>
            </w:r>
          </w:p>
        </w:tc>
        <w:tc>
          <w:tcPr>
            <w:tcW w:w="896"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0,51</w:t>
            </w:r>
          </w:p>
        </w:tc>
        <w:tc>
          <w:tcPr>
            <w:tcW w:w="95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0,34</w:t>
            </w:r>
          </w:p>
        </w:tc>
        <w:tc>
          <w:tcPr>
            <w:tcW w:w="1048"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0,05</w:t>
            </w:r>
          </w:p>
        </w:tc>
        <w:tc>
          <w:tcPr>
            <w:tcW w:w="843"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0,16</w:t>
            </w:r>
          </w:p>
        </w:tc>
        <w:tc>
          <w:tcPr>
            <w:tcW w:w="89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F</w:t>
            </w:r>
            <w:r w:rsidRPr="00BD5EEF">
              <w:rPr>
                <w:rFonts w:ascii="Times New Roman" w:eastAsia="Times New Roman" w:hAnsi="Times New Roman" w:cs="Times New Roman"/>
                <w:sz w:val="24"/>
                <w:szCs w:val="24"/>
                <w:vertAlign w:val="subscript"/>
                <w:lang w:val="en-US" w:eastAsia="ru-RU"/>
              </w:rPr>
              <w:t>v</w:t>
            </w:r>
            <w:r w:rsidRPr="00BD5EEF">
              <w:rPr>
                <w:rFonts w:ascii="Times New Roman" w:eastAsia="Times New Roman" w:hAnsi="Times New Roman" w:cs="Times New Roman"/>
                <w:sz w:val="24"/>
                <w:szCs w:val="24"/>
                <w:lang w:val="en-US" w:eastAsia="ru-RU"/>
              </w:rPr>
              <w:t>&gt;F</w:t>
            </w:r>
            <w:r w:rsidRPr="00BD5EEF">
              <w:rPr>
                <w:rFonts w:ascii="Times New Roman" w:eastAsia="Times New Roman" w:hAnsi="Times New Roman" w:cs="Times New Roman"/>
                <w:sz w:val="24"/>
                <w:szCs w:val="24"/>
                <w:vertAlign w:val="subscript"/>
                <w:lang w:val="en-US" w:eastAsia="ru-RU"/>
              </w:rPr>
              <w:t>05</w:t>
            </w:r>
          </w:p>
        </w:tc>
      </w:tr>
      <w:tr w:rsidR="00BD5EEF" w:rsidRPr="00BD5EEF" w:rsidTr="00D539E6">
        <w:trPr>
          <w:trHeight w:val="488"/>
          <w:jc w:val="center"/>
        </w:trPr>
        <w:tc>
          <w:tcPr>
            <w:tcW w:w="851" w:type="dxa"/>
            <w:vMerge/>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p>
        </w:tc>
        <w:tc>
          <w:tcPr>
            <w:tcW w:w="272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Площадь листовой</w:t>
            </w:r>
          </w:p>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 xml:space="preserve"> поверхности, м</w:t>
            </w:r>
            <w:r w:rsidRPr="00BD5EEF">
              <w:rPr>
                <w:rFonts w:ascii="Times New Roman" w:eastAsia="Times New Roman" w:hAnsi="Times New Roman" w:cs="Times New Roman"/>
                <w:sz w:val="24"/>
                <w:szCs w:val="24"/>
                <w:vertAlign w:val="superscript"/>
                <w:lang w:eastAsia="ru-RU"/>
              </w:rPr>
              <w:t>2</w:t>
            </w:r>
          </w:p>
        </w:tc>
        <w:tc>
          <w:tcPr>
            <w:tcW w:w="865"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0,25</w:t>
            </w:r>
          </w:p>
        </w:tc>
        <w:tc>
          <w:tcPr>
            <w:tcW w:w="896"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0,24</w:t>
            </w:r>
          </w:p>
        </w:tc>
        <w:tc>
          <w:tcPr>
            <w:tcW w:w="95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0,14</w:t>
            </w:r>
          </w:p>
        </w:tc>
        <w:tc>
          <w:tcPr>
            <w:tcW w:w="1048"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0,035</w:t>
            </w:r>
          </w:p>
        </w:tc>
        <w:tc>
          <w:tcPr>
            <w:tcW w:w="843"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0,11</w:t>
            </w:r>
          </w:p>
        </w:tc>
        <w:tc>
          <w:tcPr>
            <w:tcW w:w="89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F</w:t>
            </w:r>
            <w:r w:rsidRPr="00BD5EEF">
              <w:rPr>
                <w:rFonts w:ascii="Times New Roman" w:eastAsia="Times New Roman" w:hAnsi="Times New Roman" w:cs="Times New Roman"/>
                <w:sz w:val="24"/>
                <w:szCs w:val="24"/>
                <w:vertAlign w:val="subscript"/>
                <w:lang w:val="en-US" w:eastAsia="ru-RU"/>
              </w:rPr>
              <w:t>v</w:t>
            </w:r>
            <w:r w:rsidRPr="00BD5EEF">
              <w:rPr>
                <w:rFonts w:ascii="Times New Roman" w:eastAsia="Times New Roman" w:hAnsi="Times New Roman" w:cs="Times New Roman"/>
                <w:sz w:val="24"/>
                <w:szCs w:val="24"/>
                <w:lang w:val="en-US" w:eastAsia="ru-RU"/>
              </w:rPr>
              <w:t>&gt;F</w:t>
            </w:r>
            <w:r w:rsidRPr="00BD5EEF">
              <w:rPr>
                <w:rFonts w:ascii="Times New Roman" w:eastAsia="Times New Roman" w:hAnsi="Times New Roman" w:cs="Times New Roman"/>
                <w:sz w:val="24"/>
                <w:szCs w:val="24"/>
                <w:vertAlign w:val="subscript"/>
                <w:lang w:val="en-US" w:eastAsia="ru-RU"/>
              </w:rPr>
              <w:t>05</w:t>
            </w:r>
          </w:p>
        </w:tc>
      </w:tr>
      <w:tr w:rsidR="00BD5EEF" w:rsidRPr="00BD5EEF" w:rsidTr="00D539E6">
        <w:trPr>
          <w:trHeight w:val="255"/>
          <w:jc w:val="center"/>
        </w:trPr>
        <w:tc>
          <w:tcPr>
            <w:tcW w:w="851" w:type="dxa"/>
            <w:vMerge/>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p>
        </w:tc>
        <w:tc>
          <w:tcPr>
            <w:tcW w:w="272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Облиственность, м</w:t>
            </w:r>
            <w:r w:rsidRPr="00BD5EEF">
              <w:rPr>
                <w:rFonts w:ascii="Times New Roman" w:eastAsia="Times New Roman" w:hAnsi="Times New Roman" w:cs="Times New Roman"/>
                <w:sz w:val="24"/>
                <w:szCs w:val="24"/>
                <w:vertAlign w:val="superscript"/>
                <w:lang w:eastAsia="ru-RU"/>
              </w:rPr>
              <w:t>2</w:t>
            </w:r>
            <w:r w:rsidRPr="00BD5EEF">
              <w:rPr>
                <w:rFonts w:ascii="Times New Roman" w:eastAsia="Times New Roman" w:hAnsi="Times New Roman" w:cs="Times New Roman"/>
                <w:sz w:val="24"/>
                <w:szCs w:val="24"/>
                <w:lang w:eastAsia="ru-RU"/>
              </w:rPr>
              <w:t>/п.м</w:t>
            </w:r>
          </w:p>
        </w:tc>
        <w:tc>
          <w:tcPr>
            <w:tcW w:w="865"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0,05</w:t>
            </w:r>
          </w:p>
        </w:tc>
        <w:tc>
          <w:tcPr>
            <w:tcW w:w="896"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0,05</w:t>
            </w:r>
          </w:p>
        </w:tc>
        <w:tc>
          <w:tcPr>
            <w:tcW w:w="95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0,04</w:t>
            </w:r>
          </w:p>
        </w:tc>
        <w:tc>
          <w:tcPr>
            <w:tcW w:w="1048"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0,012</w:t>
            </w:r>
          </w:p>
        </w:tc>
        <w:tc>
          <w:tcPr>
            <w:tcW w:w="843"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0,035</w:t>
            </w:r>
          </w:p>
        </w:tc>
        <w:tc>
          <w:tcPr>
            <w:tcW w:w="89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F</w:t>
            </w:r>
            <w:r w:rsidRPr="00BD5EEF">
              <w:rPr>
                <w:rFonts w:ascii="Times New Roman" w:eastAsia="Times New Roman" w:hAnsi="Times New Roman" w:cs="Times New Roman"/>
                <w:sz w:val="24"/>
                <w:szCs w:val="24"/>
                <w:vertAlign w:val="subscript"/>
                <w:lang w:val="en-US" w:eastAsia="ru-RU"/>
              </w:rPr>
              <w:t>v</w:t>
            </w:r>
            <w:r w:rsidRPr="00BD5EEF">
              <w:rPr>
                <w:rFonts w:ascii="Times New Roman" w:eastAsia="Times New Roman" w:hAnsi="Times New Roman" w:cs="Times New Roman"/>
                <w:sz w:val="24"/>
                <w:szCs w:val="24"/>
                <w:lang w:val="en-US" w:eastAsia="ru-RU"/>
              </w:rPr>
              <w:t>&lt;F</w:t>
            </w:r>
            <w:r w:rsidRPr="00BD5EEF">
              <w:rPr>
                <w:rFonts w:ascii="Times New Roman" w:eastAsia="Times New Roman" w:hAnsi="Times New Roman" w:cs="Times New Roman"/>
                <w:sz w:val="24"/>
                <w:szCs w:val="24"/>
                <w:vertAlign w:val="subscript"/>
                <w:lang w:val="en-US" w:eastAsia="ru-RU"/>
              </w:rPr>
              <w:t>05</w:t>
            </w:r>
          </w:p>
        </w:tc>
      </w:tr>
      <w:tr w:rsidR="00BD5EEF" w:rsidRPr="00BD5EEF" w:rsidTr="00D539E6">
        <w:trPr>
          <w:trHeight w:val="255"/>
          <w:jc w:val="center"/>
        </w:trPr>
        <w:tc>
          <w:tcPr>
            <w:tcW w:w="851" w:type="dxa"/>
            <w:vMerge w:val="restart"/>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3</w:t>
            </w:r>
          </w:p>
        </w:tc>
        <w:tc>
          <w:tcPr>
            <w:tcW w:w="272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 xml:space="preserve">Средняя </w:t>
            </w:r>
          </w:p>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длина побега, м</w:t>
            </w:r>
          </w:p>
        </w:tc>
        <w:tc>
          <w:tcPr>
            <w:tcW w:w="865"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0,54</w:t>
            </w:r>
          </w:p>
        </w:tc>
        <w:tc>
          <w:tcPr>
            <w:tcW w:w="896"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0,53</w:t>
            </w:r>
          </w:p>
        </w:tc>
        <w:tc>
          <w:tcPr>
            <w:tcW w:w="95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0,36</w:t>
            </w:r>
          </w:p>
        </w:tc>
        <w:tc>
          <w:tcPr>
            <w:tcW w:w="1048"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0,09</w:t>
            </w:r>
          </w:p>
        </w:tc>
        <w:tc>
          <w:tcPr>
            <w:tcW w:w="843"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0,26</w:t>
            </w:r>
          </w:p>
        </w:tc>
        <w:tc>
          <w:tcPr>
            <w:tcW w:w="89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F</w:t>
            </w:r>
            <w:r w:rsidRPr="00BD5EEF">
              <w:rPr>
                <w:rFonts w:ascii="Times New Roman" w:eastAsia="Times New Roman" w:hAnsi="Times New Roman" w:cs="Times New Roman"/>
                <w:sz w:val="24"/>
                <w:szCs w:val="24"/>
                <w:vertAlign w:val="subscript"/>
                <w:lang w:val="en-US" w:eastAsia="ru-RU"/>
              </w:rPr>
              <w:t>v</w:t>
            </w:r>
            <w:r w:rsidRPr="00BD5EEF">
              <w:rPr>
                <w:rFonts w:ascii="Times New Roman" w:eastAsia="Times New Roman" w:hAnsi="Times New Roman" w:cs="Times New Roman"/>
                <w:sz w:val="24"/>
                <w:szCs w:val="24"/>
                <w:lang w:val="en-US" w:eastAsia="ru-RU"/>
              </w:rPr>
              <w:t>&lt;F</w:t>
            </w:r>
            <w:r w:rsidRPr="00BD5EEF">
              <w:rPr>
                <w:rFonts w:ascii="Times New Roman" w:eastAsia="Times New Roman" w:hAnsi="Times New Roman" w:cs="Times New Roman"/>
                <w:sz w:val="24"/>
                <w:szCs w:val="24"/>
                <w:vertAlign w:val="subscript"/>
                <w:lang w:val="en-US" w:eastAsia="ru-RU"/>
              </w:rPr>
              <w:t>05</w:t>
            </w:r>
          </w:p>
        </w:tc>
      </w:tr>
      <w:tr w:rsidR="00BD5EEF" w:rsidRPr="00BD5EEF" w:rsidTr="00D539E6">
        <w:trPr>
          <w:trHeight w:val="347"/>
          <w:jc w:val="center"/>
        </w:trPr>
        <w:tc>
          <w:tcPr>
            <w:tcW w:w="851" w:type="dxa"/>
            <w:vMerge/>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p>
        </w:tc>
        <w:tc>
          <w:tcPr>
            <w:tcW w:w="272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Площадь листовой</w:t>
            </w:r>
          </w:p>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 xml:space="preserve"> поверхности, м</w:t>
            </w:r>
            <w:r w:rsidRPr="00BD5EEF">
              <w:rPr>
                <w:rFonts w:ascii="Times New Roman" w:eastAsia="Times New Roman" w:hAnsi="Times New Roman" w:cs="Times New Roman"/>
                <w:sz w:val="24"/>
                <w:szCs w:val="24"/>
                <w:vertAlign w:val="superscript"/>
                <w:lang w:eastAsia="ru-RU"/>
              </w:rPr>
              <w:t>2</w:t>
            </w:r>
          </w:p>
        </w:tc>
        <w:tc>
          <w:tcPr>
            <w:tcW w:w="865"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0,26</w:t>
            </w:r>
          </w:p>
        </w:tc>
        <w:tc>
          <w:tcPr>
            <w:tcW w:w="896"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0,25</w:t>
            </w:r>
          </w:p>
        </w:tc>
        <w:tc>
          <w:tcPr>
            <w:tcW w:w="95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0,15</w:t>
            </w:r>
          </w:p>
        </w:tc>
        <w:tc>
          <w:tcPr>
            <w:tcW w:w="1048"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0,013</w:t>
            </w:r>
          </w:p>
        </w:tc>
        <w:tc>
          <w:tcPr>
            <w:tcW w:w="843"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0,041</w:t>
            </w:r>
          </w:p>
        </w:tc>
        <w:tc>
          <w:tcPr>
            <w:tcW w:w="89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F</w:t>
            </w:r>
            <w:r w:rsidRPr="00BD5EEF">
              <w:rPr>
                <w:rFonts w:ascii="Times New Roman" w:eastAsia="Times New Roman" w:hAnsi="Times New Roman" w:cs="Times New Roman"/>
                <w:sz w:val="24"/>
                <w:szCs w:val="24"/>
                <w:vertAlign w:val="subscript"/>
                <w:lang w:val="en-US" w:eastAsia="ru-RU"/>
              </w:rPr>
              <w:t>v</w:t>
            </w:r>
            <w:r w:rsidRPr="00BD5EEF">
              <w:rPr>
                <w:rFonts w:ascii="Times New Roman" w:eastAsia="Times New Roman" w:hAnsi="Times New Roman" w:cs="Times New Roman"/>
                <w:sz w:val="24"/>
                <w:szCs w:val="24"/>
                <w:lang w:val="en-US" w:eastAsia="ru-RU"/>
              </w:rPr>
              <w:t>&gt;F</w:t>
            </w:r>
            <w:r w:rsidRPr="00BD5EEF">
              <w:rPr>
                <w:rFonts w:ascii="Times New Roman" w:eastAsia="Times New Roman" w:hAnsi="Times New Roman" w:cs="Times New Roman"/>
                <w:sz w:val="24"/>
                <w:szCs w:val="24"/>
                <w:vertAlign w:val="subscript"/>
                <w:lang w:val="en-US" w:eastAsia="ru-RU"/>
              </w:rPr>
              <w:t>05</w:t>
            </w:r>
          </w:p>
        </w:tc>
      </w:tr>
      <w:tr w:rsidR="00BD5EEF" w:rsidRPr="00BD5EEF" w:rsidTr="00D539E6">
        <w:trPr>
          <w:trHeight w:val="255"/>
          <w:jc w:val="center"/>
        </w:trPr>
        <w:tc>
          <w:tcPr>
            <w:tcW w:w="851" w:type="dxa"/>
            <w:vMerge/>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p>
        </w:tc>
        <w:tc>
          <w:tcPr>
            <w:tcW w:w="272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Облиственность, м</w:t>
            </w:r>
            <w:r w:rsidRPr="00BD5EEF">
              <w:rPr>
                <w:rFonts w:ascii="Times New Roman" w:eastAsia="Times New Roman" w:hAnsi="Times New Roman" w:cs="Times New Roman"/>
                <w:sz w:val="24"/>
                <w:szCs w:val="24"/>
                <w:vertAlign w:val="superscript"/>
                <w:lang w:eastAsia="ru-RU"/>
              </w:rPr>
              <w:t>2</w:t>
            </w:r>
            <w:r w:rsidRPr="00BD5EEF">
              <w:rPr>
                <w:rFonts w:ascii="Times New Roman" w:eastAsia="Times New Roman" w:hAnsi="Times New Roman" w:cs="Times New Roman"/>
                <w:sz w:val="24"/>
                <w:szCs w:val="24"/>
                <w:lang w:eastAsia="ru-RU"/>
              </w:rPr>
              <w:t>/п.м</w:t>
            </w:r>
          </w:p>
        </w:tc>
        <w:tc>
          <w:tcPr>
            <w:tcW w:w="865"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0,05</w:t>
            </w:r>
          </w:p>
        </w:tc>
        <w:tc>
          <w:tcPr>
            <w:tcW w:w="896"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0,05</w:t>
            </w:r>
          </w:p>
        </w:tc>
        <w:tc>
          <w:tcPr>
            <w:tcW w:w="95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0,04</w:t>
            </w:r>
          </w:p>
        </w:tc>
        <w:tc>
          <w:tcPr>
            <w:tcW w:w="1048"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0,017</w:t>
            </w:r>
          </w:p>
        </w:tc>
        <w:tc>
          <w:tcPr>
            <w:tcW w:w="843"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0,05</w:t>
            </w:r>
          </w:p>
        </w:tc>
        <w:tc>
          <w:tcPr>
            <w:tcW w:w="89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F</w:t>
            </w:r>
            <w:r w:rsidRPr="00BD5EEF">
              <w:rPr>
                <w:rFonts w:ascii="Times New Roman" w:eastAsia="Times New Roman" w:hAnsi="Times New Roman" w:cs="Times New Roman"/>
                <w:sz w:val="24"/>
                <w:szCs w:val="24"/>
                <w:vertAlign w:val="subscript"/>
                <w:lang w:val="en-US" w:eastAsia="ru-RU"/>
              </w:rPr>
              <w:t>v</w:t>
            </w:r>
            <w:r w:rsidRPr="00BD5EEF">
              <w:rPr>
                <w:rFonts w:ascii="Times New Roman" w:eastAsia="Times New Roman" w:hAnsi="Times New Roman" w:cs="Times New Roman"/>
                <w:sz w:val="24"/>
                <w:szCs w:val="24"/>
                <w:lang w:val="en-US" w:eastAsia="ru-RU"/>
              </w:rPr>
              <w:t>&lt;F</w:t>
            </w:r>
            <w:r w:rsidRPr="00BD5EEF">
              <w:rPr>
                <w:rFonts w:ascii="Times New Roman" w:eastAsia="Times New Roman" w:hAnsi="Times New Roman" w:cs="Times New Roman"/>
                <w:sz w:val="24"/>
                <w:szCs w:val="24"/>
                <w:vertAlign w:val="subscript"/>
                <w:lang w:val="en-US" w:eastAsia="ru-RU"/>
              </w:rPr>
              <w:t>05</w:t>
            </w:r>
          </w:p>
        </w:tc>
      </w:tr>
      <w:tr w:rsidR="00BD5EEF" w:rsidRPr="00BD5EEF" w:rsidTr="00D539E6">
        <w:trPr>
          <w:trHeight w:val="256"/>
          <w:jc w:val="center"/>
        </w:trPr>
        <w:tc>
          <w:tcPr>
            <w:tcW w:w="851"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p>
        </w:tc>
        <w:tc>
          <w:tcPr>
            <w:tcW w:w="2720"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Вызревание, %</w:t>
            </w:r>
          </w:p>
        </w:tc>
        <w:tc>
          <w:tcPr>
            <w:tcW w:w="865"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95,4</w:t>
            </w:r>
          </w:p>
        </w:tc>
        <w:tc>
          <w:tcPr>
            <w:tcW w:w="896"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95,8</w:t>
            </w:r>
          </w:p>
        </w:tc>
        <w:tc>
          <w:tcPr>
            <w:tcW w:w="951"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91,0</w:t>
            </w:r>
          </w:p>
        </w:tc>
        <w:tc>
          <w:tcPr>
            <w:tcW w:w="1048"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w:t>
            </w:r>
          </w:p>
        </w:tc>
        <w:tc>
          <w:tcPr>
            <w:tcW w:w="843"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w:t>
            </w:r>
          </w:p>
        </w:tc>
        <w:tc>
          <w:tcPr>
            <w:tcW w:w="892" w:type="dxa"/>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w:t>
            </w:r>
          </w:p>
        </w:tc>
      </w:tr>
    </w:tbl>
    <w:p w:rsidR="00BD5EEF" w:rsidRPr="00BD5EEF" w:rsidRDefault="00BD5EEF" w:rsidP="00BD5EEF">
      <w:pPr>
        <w:spacing w:before="240" w:after="24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Большое значение имеет изучение корневой системы в тесной связи с надземной частью растения винограда и, обязательно, должно проводиться на опытных участках, отличающихся почвенными и другими технологическими условиями. От характера распространения корневой системы, от глубины и интенсивности развития активных корней в значительной степени зависят и условия питания растения, его засухоустойчивость, морозоустойчивость и т. д.</w:t>
      </w:r>
    </w:p>
    <w:tbl>
      <w:tblPr>
        <w:tblW w:w="0" w:type="auto"/>
        <w:tblLook w:val="04A0" w:firstRow="1" w:lastRow="0" w:firstColumn="1" w:lastColumn="0" w:noHBand="0" w:noVBand="1"/>
      </w:tblPr>
      <w:tblGrid>
        <w:gridCol w:w="4530"/>
        <w:gridCol w:w="4531"/>
      </w:tblGrid>
      <w:tr w:rsidR="00BD5EEF" w:rsidRPr="00BD5EEF" w:rsidTr="00D539E6">
        <w:tc>
          <w:tcPr>
            <w:tcW w:w="4530" w:type="dxa"/>
            <w:shd w:val="clear" w:color="auto" w:fill="auto"/>
          </w:tcPr>
          <w:p w:rsidR="00BD5EEF" w:rsidRPr="00BD5EEF" w:rsidRDefault="00BD5EEF" w:rsidP="00BD5EEF">
            <w:pPr>
              <w:spacing w:after="0" w:line="240" w:lineRule="auto"/>
              <w:jc w:val="center"/>
              <w:rPr>
                <w:rFonts w:ascii="Times New Roman" w:eastAsia="Times New Roman" w:hAnsi="Times New Roman" w:cs="Times New Roman"/>
                <w:i/>
                <w:noProof/>
                <w:sz w:val="28"/>
                <w:szCs w:val="28"/>
                <w:lang w:eastAsia="ru-RU"/>
              </w:rPr>
            </w:pPr>
            <w:r w:rsidRPr="00BD5EEF">
              <w:rPr>
                <w:rFonts w:ascii="Times New Roman" w:eastAsia="Times New Roman" w:hAnsi="Times New Roman" w:cs="Times New Roman"/>
                <w:i/>
                <w:noProof/>
                <w:sz w:val="28"/>
                <w:szCs w:val="28"/>
                <w:lang w:eastAsia="ru-RU"/>
              </w:rPr>
              <w:lastRenderedPageBreak/>
              <w:drawing>
                <wp:inline distT="0" distB="0" distL="0" distR="0">
                  <wp:extent cx="2438400" cy="2647950"/>
                  <wp:effectExtent l="0" t="0" r="0" b="0"/>
                  <wp:docPr id="20" name="Рисунок 20" descr="20160629_11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20160629_113500"/>
                          <pic:cNvPicPr>
                            <a:picLocks noChangeAspect="1" noChangeArrowheads="1"/>
                          </pic:cNvPicPr>
                        </pic:nvPicPr>
                        <pic:blipFill>
                          <a:blip r:embed="rId9">
                            <a:extLst>
                              <a:ext uri="{28A0092B-C50C-407E-A947-70E740481C1C}">
                                <a14:useLocalDpi xmlns:a14="http://schemas.microsoft.com/office/drawing/2010/main" val="0"/>
                              </a:ext>
                            </a:extLst>
                          </a:blip>
                          <a:srcRect l="16129" r="28802"/>
                          <a:stretch>
                            <a:fillRect/>
                          </a:stretch>
                        </pic:blipFill>
                        <pic:spPr bwMode="auto">
                          <a:xfrm>
                            <a:off x="0" y="0"/>
                            <a:ext cx="2438400" cy="2647950"/>
                          </a:xfrm>
                          <a:prstGeom prst="rect">
                            <a:avLst/>
                          </a:prstGeom>
                          <a:noFill/>
                          <a:ln>
                            <a:noFill/>
                          </a:ln>
                        </pic:spPr>
                      </pic:pic>
                    </a:graphicData>
                  </a:graphic>
                </wp:inline>
              </w:drawing>
            </w:r>
          </w:p>
        </w:tc>
        <w:tc>
          <w:tcPr>
            <w:tcW w:w="4531" w:type="dxa"/>
            <w:shd w:val="clear" w:color="auto" w:fill="auto"/>
          </w:tcPr>
          <w:p w:rsidR="00BD5EEF" w:rsidRPr="00BD5EEF" w:rsidRDefault="00BD5EEF" w:rsidP="00BD5EEF">
            <w:pPr>
              <w:spacing w:after="0" w:line="240" w:lineRule="auto"/>
              <w:jc w:val="center"/>
              <w:rPr>
                <w:rFonts w:ascii="Times New Roman" w:eastAsia="Times New Roman" w:hAnsi="Times New Roman" w:cs="Times New Roman"/>
                <w:i/>
                <w:noProof/>
                <w:sz w:val="28"/>
                <w:szCs w:val="28"/>
                <w:lang w:eastAsia="ru-RU"/>
              </w:rPr>
            </w:pPr>
            <w:r w:rsidRPr="00BD5EEF">
              <w:rPr>
                <w:rFonts w:ascii="Times New Roman" w:eastAsia="Times New Roman" w:hAnsi="Times New Roman" w:cs="Times New Roman"/>
                <w:b/>
                <w:noProof/>
                <w:sz w:val="28"/>
                <w:szCs w:val="28"/>
                <w:lang w:eastAsia="ru-RU"/>
              </w:rPr>
              <w:drawing>
                <wp:inline distT="0" distB="0" distL="0" distR="0">
                  <wp:extent cx="2238375" cy="2647950"/>
                  <wp:effectExtent l="0" t="0" r="9525" b="0"/>
                  <wp:docPr id="19" name="Рисунок 19" descr="20160629_113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20160629_1135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375" cy="2647950"/>
                          </a:xfrm>
                          <a:prstGeom prst="rect">
                            <a:avLst/>
                          </a:prstGeom>
                          <a:noFill/>
                          <a:ln>
                            <a:noFill/>
                          </a:ln>
                        </pic:spPr>
                      </pic:pic>
                    </a:graphicData>
                  </a:graphic>
                </wp:inline>
              </w:drawing>
            </w:r>
          </w:p>
        </w:tc>
      </w:tr>
      <w:tr w:rsidR="00BD5EEF" w:rsidRPr="00BD5EEF" w:rsidTr="00D539E6">
        <w:tc>
          <w:tcPr>
            <w:tcW w:w="4530" w:type="dxa"/>
            <w:shd w:val="clear" w:color="auto" w:fill="auto"/>
          </w:tcPr>
          <w:p w:rsidR="00BD5EEF" w:rsidRPr="00BD5EEF" w:rsidRDefault="00BD5EEF" w:rsidP="00BD5EEF">
            <w:pPr>
              <w:spacing w:before="120" w:after="0" w:line="240" w:lineRule="auto"/>
              <w:jc w:val="center"/>
              <w:rPr>
                <w:rFonts w:ascii="Times New Roman" w:eastAsia="Times New Roman" w:hAnsi="Times New Roman" w:cs="Times New Roman"/>
                <w:b/>
                <w:snapToGrid w:val="0"/>
                <w:sz w:val="24"/>
                <w:szCs w:val="24"/>
                <w:lang w:eastAsia="ru-RU"/>
              </w:rPr>
            </w:pPr>
            <w:r w:rsidRPr="00BD5EEF">
              <w:rPr>
                <w:rFonts w:ascii="Times New Roman" w:eastAsia="Times New Roman" w:hAnsi="Times New Roman" w:cs="Times New Roman"/>
                <w:b/>
                <w:snapToGrid w:val="0"/>
                <w:sz w:val="24"/>
                <w:szCs w:val="24"/>
                <w:lang w:eastAsia="ru-RU"/>
              </w:rPr>
              <w:t xml:space="preserve">Рис. 2. Саженец винограда </w:t>
            </w:r>
          </w:p>
          <w:p w:rsidR="00BD5EEF" w:rsidRPr="00BD5EEF" w:rsidRDefault="00BD5EEF" w:rsidP="00BD5EEF">
            <w:pPr>
              <w:spacing w:after="0" w:line="240" w:lineRule="auto"/>
              <w:jc w:val="center"/>
              <w:rPr>
                <w:rFonts w:ascii="Times New Roman" w:eastAsia="Times New Roman" w:hAnsi="Times New Roman" w:cs="Times New Roman"/>
                <w:b/>
                <w:sz w:val="24"/>
                <w:szCs w:val="24"/>
                <w:lang w:eastAsia="ru-RU"/>
              </w:rPr>
            </w:pPr>
            <w:r w:rsidRPr="00BD5EEF">
              <w:rPr>
                <w:rFonts w:ascii="Times New Roman" w:eastAsia="Times New Roman" w:hAnsi="Times New Roman" w:cs="Times New Roman"/>
                <w:b/>
                <w:snapToGrid w:val="0"/>
                <w:sz w:val="24"/>
                <w:szCs w:val="24"/>
                <w:lang w:eastAsia="ru-RU"/>
              </w:rPr>
              <w:t xml:space="preserve">сорта Каберне-Совиньон </w:t>
            </w:r>
            <w:r w:rsidRPr="00BD5EEF">
              <w:rPr>
                <w:rFonts w:ascii="Times New Roman" w:eastAsia="Times New Roman" w:hAnsi="Times New Roman" w:cs="Times New Roman"/>
                <w:b/>
                <w:sz w:val="24"/>
                <w:szCs w:val="24"/>
                <w:lang w:eastAsia="ru-RU"/>
              </w:rPr>
              <w:t xml:space="preserve">клон 685 </w:t>
            </w:r>
            <w:r w:rsidRPr="00BD5EEF">
              <w:rPr>
                <w:rFonts w:ascii="Times New Roman" w:eastAsia="Times New Roman" w:hAnsi="Times New Roman" w:cs="Times New Roman"/>
                <w:b/>
                <w:sz w:val="24"/>
                <w:szCs w:val="24"/>
                <w:lang w:eastAsia="ru-RU"/>
              </w:rPr>
              <w:br/>
            </w:r>
            <w:r w:rsidRPr="00BD5EEF">
              <w:rPr>
                <w:rFonts w:ascii="Times New Roman" w:eastAsia="Times New Roman" w:hAnsi="Times New Roman" w:cs="Times New Roman"/>
                <w:b/>
                <w:snapToGrid w:val="0"/>
                <w:sz w:val="24"/>
                <w:szCs w:val="24"/>
                <w:lang w:eastAsia="ru-RU"/>
              </w:rPr>
              <w:t>на 1.07.16 г., (контроль – без применения препа</w:t>
            </w:r>
            <w:r w:rsidRPr="00BD5EEF">
              <w:rPr>
                <w:rFonts w:ascii="Times New Roman" w:eastAsia="Times New Roman" w:hAnsi="Times New Roman" w:cs="Times New Roman"/>
                <w:b/>
                <w:sz w:val="24"/>
                <w:szCs w:val="24"/>
                <w:lang w:eastAsia="ru-RU"/>
              </w:rPr>
              <w:t>рата «ЭМИКС»)</w:t>
            </w:r>
          </w:p>
        </w:tc>
        <w:tc>
          <w:tcPr>
            <w:tcW w:w="4531" w:type="dxa"/>
            <w:shd w:val="clear" w:color="auto" w:fill="auto"/>
          </w:tcPr>
          <w:p w:rsidR="00BD5EEF" w:rsidRPr="00BD5EEF" w:rsidRDefault="00BD5EEF" w:rsidP="00BD5EEF">
            <w:pPr>
              <w:spacing w:before="120" w:after="0" w:line="240" w:lineRule="auto"/>
              <w:jc w:val="center"/>
              <w:rPr>
                <w:rFonts w:ascii="Times New Roman" w:eastAsia="Times New Roman" w:hAnsi="Times New Roman" w:cs="Times New Roman"/>
                <w:b/>
                <w:snapToGrid w:val="0"/>
                <w:sz w:val="24"/>
                <w:szCs w:val="24"/>
                <w:lang w:eastAsia="ru-RU"/>
              </w:rPr>
            </w:pPr>
            <w:r w:rsidRPr="00BD5EEF">
              <w:rPr>
                <w:rFonts w:ascii="Times New Roman" w:eastAsia="Times New Roman" w:hAnsi="Times New Roman" w:cs="Times New Roman"/>
                <w:b/>
                <w:snapToGrid w:val="0"/>
                <w:sz w:val="24"/>
                <w:szCs w:val="24"/>
                <w:lang w:eastAsia="ru-RU"/>
              </w:rPr>
              <w:t xml:space="preserve">Рис. 3. Саженец винограда </w:t>
            </w:r>
          </w:p>
          <w:p w:rsidR="00BD5EEF" w:rsidRPr="00BD5EEF" w:rsidRDefault="00BD5EEF" w:rsidP="00BD5EEF">
            <w:pPr>
              <w:spacing w:after="0" w:line="240" w:lineRule="auto"/>
              <w:jc w:val="center"/>
              <w:rPr>
                <w:rFonts w:ascii="Times New Roman" w:eastAsia="Times New Roman" w:hAnsi="Times New Roman" w:cs="Times New Roman"/>
                <w:b/>
                <w:snapToGrid w:val="0"/>
                <w:sz w:val="24"/>
                <w:szCs w:val="24"/>
                <w:lang w:eastAsia="ru-RU"/>
              </w:rPr>
            </w:pPr>
            <w:r w:rsidRPr="00BD5EEF">
              <w:rPr>
                <w:rFonts w:ascii="Times New Roman" w:eastAsia="Times New Roman" w:hAnsi="Times New Roman" w:cs="Times New Roman"/>
                <w:b/>
                <w:snapToGrid w:val="0"/>
                <w:sz w:val="24"/>
                <w:szCs w:val="24"/>
                <w:lang w:eastAsia="ru-RU"/>
              </w:rPr>
              <w:t xml:space="preserve">сорта Каберне-Совиньон </w:t>
            </w:r>
            <w:r w:rsidRPr="00BD5EEF">
              <w:rPr>
                <w:rFonts w:ascii="Times New Roman" w:eastAsia="Times New Roman" w:hAnsi="Times New Roman" w:cs="Times New Roman"/>
                <w:b/>
                <w:sz w:val="24"/>
                <w:szCs w:val="24"/>
                <w:lang w:eastAsia="ru-RU"/>
              </w:rPr>
              <w:t xml:space="preserve">клон 685 </w:t>
            </w:r>
            <w:r w:rsidRPr="00BD5EEF">
              <w:rPr>
                <w:rFonts w:ascii="Times New Roman" w:eastAsia="Times New Roman" w:hAnsi="Times New Roman" w:cs="Times New Roman"/>
                <w:b/>
                <w:sz w:val="24"/>
                <w:szCs w:val="24"/>
                <w:lang w:eastAsia="ru-RU"/>
              </w:rPr>
              <w:br/>
            </w:r>
            <w:r w:rsidRPr="00BD5EEF">
              <w:rPr>
                <w:rFonts w:ascii="Times New Roman" w:eastAsia="Times New Roman" w:hAnsi="Times New Roman" w:cs="Times New Roman"/>
                <w:b/>
                <w:snapToGrid w:val="0"/>
                <w:sz w:val="24"/>
                <w:szCs w:val="24"/>
                <w:lang w:eastAsia="ru-RU"/>
              </w:rPr>
              <w:t>на 1.07.16 г., (опыт – внесение при посадке препарата «ЭМИКС»)</w:t>
            </w:r>
          </w:p>
        </w:tc>
      </w:tr>
    </w:tbl>
    <w:p w:rsidR="00BD5EEF" w:rsidRPr="00BD5EEF" w:rsidRDefault="00BD5EEF" w:rsidP="00BD5EEF">
      <w:pPr>
        <w:spacing w:before="240"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xml:space="preserve">В корнях виноградного растения особенно мощно развиты сердцевинные и радиальные лучи. В них откладывается большое количество питательных веществ. Характер развития корневой системы винограда, ее распространение в почве зависят от внешних условий (климата, почвы), агротехники, сорта, возраста растения и других причин. </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Результаты изучения структуры корневой системы представлены в таблице 3.</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xml:space="preserve">Саженцы винограда имели нормально развитую корневую систему. У кустов в </w:t>
      </w:r>
      <w:r w:rsidRPr="00BD5EEF">
        <w:rPr>
          <w:rFonts w:ascii="Times New Roman" w:eastAsia="Times New Roman" w:hAnsi="Times New Roman" w:cs="Times New Roman"/>
          <w:sz w:val="30"/>
          <w:szCs w:val="30"/>
          <w:lang w:val="en-US" w:eastAsia="ru-RU"/>
        </w:rPr>
        <w:t>I</w:t>
      </w:r>
      <w:r w:rsidRPr="00BD5EEF">
        <w:rPr>
          <w:rFonts w:ascii="Times New Roman" w:eastAsia="Times New Roman" w:hAnsi="Times New Roman" w:cs="Times New Roman"/>
          <w:sz w:val="30"/>
          <w:szCs w:val="30"/>
          <w:lang w:eastAsia="ru-RU"/>
        </w:rPr>
        <w:t xml:space="preserve"> и </w:t>
      </w:r>
      <w:r w:rsidRPr="00BD5EEF">
        <w:rPr>
          <w:rFonts w:ascii="Times New Roman" w:eastAsia="Times New Roman" w:hAnsi="Times New Roman" w:cs="Times New Roman"/>
          <w:sz w:val="30"/>
          <w:szCs w:val="30"/>
          <w:lang w:val="en-US" w:eastAsia="ru-RU"/>
        </w:rPr>
        <w:t>II</w:t>
      </w:r>
      <w:r w:rsidRPr="00BD5EEF">
        <w:rPr>
          <w:rFonts w:ascii="Times New Roman" w:eastAsia="Times New Roman" w:hAnsi="Times New Roman" w:cs="Times New Roman"/>
          <w:sz w:val="30"/>
          <w:szCs w:val="30"/>
          <w:lang w:eastAsia="ru-RU"/>
        </w:rPr>
        <w:t xml:space="preserve"> вариантах корни имеют диаметр более 2,0 мм, основная масса их развита и размещается на глубине 50–55 см.</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Обрастающая часть корневой системы составляет от 60,9 до 82,3 %. Следовательно, условия питания через корневую систему у кустов складываются достаточно благоприятно.</w:t>
      </w:r>
    </w:p>
    <w:p w:rsidR="00BD5EEF" w:rsidRPr="00BD5EEF" w:rsidRDefault="00BD5EEF" w:rsidP="00BD5EEF">
      <w:pPr>
        <w:spacing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 xml:space="preserve">В весенне-летний период (рост побегов и формирование урожая) растущая корневая система обеспечивает растение водой и питанием. В осенний период, по завершению роста побегов, рост корней продолжается и имеет большое значение для начала следующей вегетации. В образовавшихся осенью корешках на протяжении зимы происходят процессы накопления и образования питательных веществ, в частности азота, необходимого для формирования соцветий и весеннего толчка роста. </w:t>
      </w:r>
    </w:p>
    <w:p w:rsidR="00BD5EEF" w:rsidRPr="00BD5EEF" w:rsidRDefault="00BD5EEF" w:rsidP="00BD5EEF">
      <w:pPr>
        <w:spacing w:after="0" w:line="240" w:lineRule="auto"/>
        <w:ind w:left="7788"/>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Таблица 3</w:t>
      </w:r>
    </w:p>
    <w:p w:rsidR="00BD5EEF" w:rsidRPr="00BD5EEF" w:rsidRDefault="00BD5EEF" w:rsidP="00BD5EEF">
      <w:pPr>
        <w:spacing w:after="0" w:line="240" w:lineRule="auto"/>
        <w:jc w:val="center"/>
        <w:rPr>
          <w:rFonts w:ascii="Times New Roman" w:eastAsia="Times New Roman" w:hAnsi="Times New Roman" w:cs="Times New Roman"/>
          <w:b/>
          <w:sz w:val="24"/>
          <w:szCs w:val="24"/>
          <w:lang w:eastAsia="ru-RU"/>
        </w:rPr>
      </w:pPr>
      <w:r w:rsidRPr="00BD5EEF">
        <w:rPr>
          <w:rFonts w:ascii="Times New Roman" w:eastAsia="Times New Roman" w:hAnsi="Times New Roman" w:cs="Times New Roman"/>
          <w:sz w:val="24"/>
          <w:szCs w:val="24"/>
          <w:lang w:eastAsia="ru-RU"/>
        </w:rPr>
        <w:t xml:space="preserve">  </w:t>
      </w:r>
      <w:r w:rsidRPr="00BD5EEF">
        <w:rPr>
          <w:rFonts w:ascii="Times New Roman" w:eastAsia="Times New Roman" w:hAnsi="Times New Roman" w:cs="Times New Roman"/>
          <w:b/>
          <w:sz w:val="24"/>
          <w:szCs w:val="24"/>
          <w:lang w:eastAsia="ru-RU"/>
        </w:rPr>
        <w:t>Структура корневой системы саженцев, посаженных с применением препарата «ЭМИКС», сорт Каберне Совиньон клон 685,</w:t>
      </w:r>
    </w:p>
    <w:p w:rsidR="00BD5EEF" w:rsidRPr="00BD5EEF" w:rsidRDefault="00BD5EEF" w:rsidP="00BD5EEF">
      <w:pPr>
        <w:spacing w:after="120" w:line="240" w:lineRule="auto"/>
        <w:jc w:val="center"/>
        <w:rPr>
          <w:rFonts w:ascii="Times New Roman" w:eastAsia="Times New Roman" w:hAnsi="Times New Roman" w:cs="Times New Roman"/>
          <w:b/>
          <w:sz w:val="24"/>
          <w:szCs w:val="24"/>
          <w:lang w:eastAsia="ru-RU"/>
        </w:rPr>
      </w:pPr>
      <w:r w:rsidRPr="00BD5EEF">
        <w:rPr>
          <w:rFonts w:ascii="Times New Roman" w:eastAsia="Times New Roman" w:hAnsi="Times New Roman" w:cs="Times New Roman"/>
          <w:b/>
          <w:sz w:val="24"/>
          <w:szCs w:val="24"/>
          <w:lang w:eastAsia="ru-RU"/>
        </w:rPr>
        <w:t>ФГУП «ПАО «Массандра» Филиал «Судак», 2016 год</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418"/>
        <w:gridCol w:w="1559"/>
        <w:gridCol w:w="1559"/>
      </w:tblGrid>
      <w:tr w:rsidR="00BD5EEF" w:rsidRPr="00BD5EEF" w:rsidTr="00D539E6">
        <w:trPr>
          <w:trHeight w:val="283"/>
          <w:jc w:val="center"/>
        </w:trPr>
        <w:tc>
          <w:tcPr>
            <w:tcW w:w="4536"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lastRenderedPageBreak/>
              <w:t>Показатели</w:t>
            </w:r>
          </w:p>
        </w:tc>
        <w:tc>
          <w:tcPr>
            <w:tcW w:w="1418"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I</w:t>
            </w:r>
            <w:r w:rsidRPr="00BD5EEF">
              <w:rPr>
                <w:rFonts w:ascii="Times New Roman" w:eastAsia="Times New Roman" w:hAnsi="Times New Roman" w:cs="Times New Roman"/>
                <w:sz w:val="24"/>
                <w:szCs w:val="24"/>
                <w:lang w:eastAsia="ru-RU"/>
              </w:rPr>
              <w:t xml:space="preserve"> Вариант</w:t>
            </w:r>
          </w:p>
        </w:tc>
        <w:tc>
          <w:tcPr>
            <w:tcW w:w="1559"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en-US" w:eastAsia="ru-RU"/>
              </w:rPr>
              <w:t>II</w:t>
            </w:r>
            <w:r w:rsidRPr="00BD5EEF">
              <w:rPr>
                <w:rFonts w:ascii="Times New Roman" w:eastAsia="Times New Roman" w:hAnsi="Times New Roman" w:cs="Times New Roman"/>
                <w:sz w:val="24"/>
                <w:szCs w:val="24"/>
                <w:lang w:eastAsia="ru-RU"/>
              </w:rPr>
              <w:t xml:space="preserve"> Вариант</w:t>
            </w:r>
          </w:p>
        </w:tc>
        <w:tc>
          <w:tcPr>
            <w:tcW w:w="1559"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Контроль</w:t>
            </w:r>
          </w:p>
        </w:tc>
      </w:tr>
      <w:tr w:rsidR="00BD5EEF" w:rsidRPr="00BD5EEF" w:rsidTr="00D539E6">
        <w:trPr>
          <w:trHeight w:val="283"/>
          <w:jc w:val="center"/>
        </w:trPr>
        <w:tc>
          <w:tcPr>
            <w:tcW w:w="4536" w:type="dxa"/>
            <w:shd w:val="clear" w:color="auto" w:fill="auto"/>
            <w:vAlign w:val="center"/>
          </w:tcPr>
          <w:p w:rsidR="00BD5EEF" w:rsidRPr="00BD5EEF" w:rsidRDefault="00BD5EEF" w:rsidP="00BD5EEF">
            <w:pPr>
              <w:spacing w:after="0" w:line="240" w:lineRule="auto"/>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Глубина залегания корней, м</w:t>
            </w:r>
          </w:p>
        </w:tc>
        <w:tc>
          <w:tcPr>
            <w:tcW w:w="1418"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0,50</w:t>
            </w:r>
          </w:p>
        </w:tc>
        <w:tc>
          <w:tcPr>
            <w:tcW w:w="1559"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0,55</w:t>
            </w:r>
          </w:p>
        </w:tc>
        <w:tc>
          <w:tcPr>
            <w:tcW w:w="1559"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0,50</w:t>
            </w:r>
          </w:p>
        </w:tc>
      </w:tr>
      <w:tr w:rsidR="00BD5EEF" w:rsidRPr="00BD5EEF" w:rsidTr="00D539E6">
        <w:trPr>
          <w:trHeight w:val="283"/>
          <w:jc w:val="center"/>
        </w:trPr>
        <w:tc>
          <w:tcPr>
            <w:tcW w:w="4536" w:type="dxa"/>
            <w:shd w:val="clear" w:color="auto" w:fill="auto"/>
            <w:vAlign w:val="center"/>
          </w:tcPr>
          <w:p w:rsidR="00BD5EEF" w:rsidRPr="00BD5EEF" w:rsidRDefault="00BD5EEF" w:rsidP="00BD5EEF">
            <w:pPr>
              <w:spacing w:after="0" w:line="240" w:lineRule="auto"/>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Радиус распространения корней, м</w:t>
            </w:r>
          </w:p>
        </w:tc>
        <w:tc>
          <w:tcPr>
            <w:tcW w:w="1418"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0,3-0,4</w:t>
            </w:r>
          </w:p>
        </w:tc>
        <w:tc>
          <w:tcPr>
            <w:tcW w:w="1559"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0,3-0,4</w:t>
            </w:r>
          </w:p>
        </w:tc>
        <w:tc>
          <w:tcPr>
            <w:tcW w:w="1559"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0,2-0,3</w:t>
            </w:r>
          </w:p>
        </w:tc>
      </w:tr>
      <w:tr w:rsidR="00BD5EEF" w:rsidRPr="00BD5EEF" w:rsidTr="00D539E6">
        <w:trPr>
          <w:trHeight w:val="283"/>
          <w:jc w:val="center"/>
        </w:trPr>
        <w:tc>
          <w:tcPr>
            <w:tcW w:w="4536" w:type="dxa"/>
            <w:shd w:val="clear" w:color="auto" w:fill="auto"/>
            <w:vAlign w:val="center"/>
          </w:tcPr>
          <w:p w:rsidR="00BD5EEF" w:rsidRPr="00BD5EEF" w:rsidRDefault="00BD5EEF" w:rsidP="00BD5EEF">
            <w:pPr>
              <w:spacing w:after="0" w:line="240" w:lineRule="auto"/>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Количество учетных корней, шт.</w:t>
            </w:r>
          </w:p>
        </w:tc>
        <w:tc>
          <w:tcPr>
            <w:tcW w:w="1418"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51</w:t>
            </w:r>
          </w:p>
        </w:tc>
        <w:tc>
          <w:tcPr>
            <w:tcW w:w="1559"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49</w:t>
            </w:r>
          </w:p>
        </w:tc>
        <w:tc>
          <w:tcPr>
            <w:tcW w:w="1559"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24</w:t>
            </w:r>
          </w:p>
        </w:tc>
      </w:tr>
      <w:tr w:rsidR="00BD5EEF" w:rsidRPr="00BD5EEF" w:rsidTr="00D539E6">
        <w:trPr>
          <w:trHeight w:val="331"/>
          <w:jc w:val="center"/>
        </w:trPr>
        <w:tc>
          <w:tcPr>
            <w:tcW w:w="4536" w:type="dxa"/>
            <w:tcBorders>
              <w:bottom w:val="single" w:sz="4" w:space="0" w:color="auto"/>
            </w:tcBorders>
            <w:shd w:val="clear" w:color="auto" w:fill="auto"/>
            <w:vAlign w:val="center"/>
          </w:tcPr>
          <w:p w:rsidR="00BD5EEF" w:rsidRPr="00BD5EEF" w:rsidRDefault="00BD5EEF" w:rsidP="00BD5EEF">
            <w:pPr>
              <w:spacing w:after="0" w:line="240" w:lineRule="auto"/>
              <w:ind w:left="-108" w:right="-108" w:firstLine="108"/>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Диаметр корней, в среднем, м</w:t>
            </w:r>
          </w:p>
        </w:tc>
        <w:tc>
          <w:tcPr>
            <w:tcW w:w="1418" w:type="dxa"/>
            <w:tcBorders>
              <w:bottom w:val="single" w:sz="4" w:space="0" w:color="auto"/>
            </w:tcBorders>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более 2,4</w:t>
            </w:r>
          </w:p>
        </w:tc>
        <w:tc>
          <w:tcPr>
            <w:tcW w:w="1559" w:type="dxa"/>
            <w:tcBorders>
              <w:bottom w:val="single" w:sz="4" w:space="0" w:color="auto"/>
            </w:tcBorders>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 xml:space="preserve">более 2,0 </w:t>
            </w:r>
          </w:p>
        </w:tc>
        <w:tc>
          <w:tcPr>
            <w:tcW w:w="1559" w:type="dxa"/>
            <w:tcBorders>
              <w:bottom w:val="single" w:sz="4" w:space="0" w:color="auto"/>
            </w:tcBorders>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до 2,0</w:t>
            </w:r>
          </w:p>
        </w:tc>
      </w:tr>
      <w:tr w:rsidR="00BD5EEF" w:rsidRPr="00BD5EEF" w:rsidTr="00D539E6">
        <w:trPr>
          <w:trHeight w:val="283"/>
          <w:jc w:val="center"/>
        </w:trPr>
        <w:tc>
          <w:tcPr>
            <w:tcW w:w="4536" w:type="dxa"/>
            <w:shd w:val="clear" w:color="auto" w:fill="auto"/>
            <w:vAlign w:val="center"/>
          </w:tcPr>
          <w:p w:rsidR="00BD5EEF" w:rsidRPr="00BD5EEF" w:rsidRDefault="00BD5EEF" w:rsidP="00BD5EEF">
            <w:pPr>
              <w:spacing w:after="0" w:line="240" w:lineRule="auto"/>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Общая суммарная длина корней, м</w:t>
            </w:r>
          </w:p>
        </w:tc>
        <w:tc>
          <w:tcPr>
            <w:tcW w:w="1418"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1,10</w:t>
            </w:r>
          </w:p>
        </w:tc>
        <w:tc>
          <w:tcPr>
            <w:tcW w:w="1559"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0,79</w:t>
            </w:r>
          </w:p>
        </w:tc>
        <w:tc>
          <w:tcPr>
            <w:tcW w:w="1559"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0,43</w:t>
            </w:r>
          </w:p>
        </w:tc>
      </w:tr>
      <w:tr w:rsidR="00BD5EEF" w:rsidRPr="00BD5EEF" w:rsidTr="00D539E6">
        <w:trPr>
          <w:trHeight w:val="283"/>
          <w:jc w:val="center"/>
        </w:trPr>
        <w:tc>
          <w:tcPr>
            <w:tcW w:w="4536" w:type="dxa"/>
            <w:shd w:val="clear" w:color="auto" w:fill="auto"/>
            <w:vAlign w:val="center"/>
          </w:tcPr>
          <w:p w:rsidR="00BD5EEF" w:rsidRPr="00BD5EEF" w:rsidRDefault="00BD5EEF" w:rsidP="00BD5EEF">
            <w:pPr>
              <w:spacing w:after="0" w:line="240" w:lineRule="auto"/>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Обрастающих, м</w:t>
            </w:r>
          </w:p>
        </w:tc>
        <w:tc>
          <w:tcPr>
            <w:tcW w:w="1418"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0,67</w:t>
            </w:r>
          </w:p>
        </w:tc>
        <w:tc>
          <w:tcPr>
            <w:tcW w:w="1559"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0,65</w:t>
            </w:r>
          </w:p>
        </w:tc>
        <w:tc>
          <w:tcPr>
            <w:tcW w:w="1559" w:type="dxa"/>
            <w:shd w:val="clear" w:color="auto" w:fill="auto"/>
            <w:vAlign w:val="center"/>
          </w:tcPr>
          <w:p w:rsidR="00BD5EEF" w:rsidRPr="00BD5EEF" w:rsidRDefault="00BD5EEF" w:rsidP="00BD5EEF">
            <w:pPr>
              <w:spacing w:after="0" w:line="240" w:lineRule="auto"/>
              <w:jc w:val="center"/>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0,30</w:t>
            </w:r>
          </w:p>
        </w:tc>
      </w:tr>
    </w:tbl>
    <w:p w:rsidR="00BD5EEF" w:rsidRPr="00BD5EEF" w:rsidRDefault="00BD5EEF" w:rsidP="00BD5EEF">
      <w:pPr>
        <w:spacing w:before="240" w:after="0" w:line="240" w:lineRule="auto"/>
        <w:ind w:firstLine="709"/>
        <w:jc w:val="both"/>
        <w:rPr>
          <w:rFonts w:ascii="Times New Roman" w:eastAsia="Times New Roman" w:hAnsi="Times New Roman" w:cs="Times New Roman"/>
          <w:sz w:val="30"/>
          <w:szCs w:val="30"/>
          <w:lang w:eastAsia="ru-RU"/>
        </w:rPr>
      </w:pPr>
      <w:r w:rsidRPr="00BD5EEF">
        <w:rPr>
          <w:rFonts w:ascii="Times New Roman" w:eastAsia="Times New Roman" w:hAnsi="Times New Roman" w:cs="Times New Roman"/>
          <w:sz w:val="30"/>
          <w:szCs w:val="30"/>
          <w:lang w:eastAsia="ru-RU"/>
        </w:rPr>
        <w:t>Необходимо отметить, что до июля наиболее активный рост корней проходит до глубины 30–40 см, а после июля – на глубине от 30–40 до 60 см и более. Это явление объясняется значительным снижением влажности в июле в верхнем слое почвы. В сентябре и октябре в случае выпадения осадков и повышения влажности почвы вновь наблюдается возобновление роста корней в верхних слоях почвы.</w:t>
      </w:r>
    </w:p>
    <w:p w:rsidR="00BD5EEF" w:rsidRPr="00BD5EEF" w:rsidRDefault="00BD5EEF" w:rsidP="00BD5EEF">
      <w:pPr>
        <w:spacing w:after="0" w:line="240" w:lineRule="auto"/>
        <w:ind w:firstLine="709"/>
        <w:jc w:val="both"/>
        <w:rPr>
          <w:rFonts w:ascii="Times New Roman" w:eastAsia="Times New Roman" w:hAnsi="Times New Roman" w:cs="Times New Roman"/>
          <w:color w:val="000000"/>
          <w:sz w:val="30"/>
          <w:szCs w:val="30"/>
          <w:lang w:eastAsia="ru-RU"/>
        </w:rPr>
      </w:pPr>
      <w:r w:rsidRPr="00BD5EEF">
        <w:rPr>
          <w:rFonts w:ascii="Times New Roman" w:eastAsia="Times New Roman" w:hAnsi="Times New Roman" w:cs="Times New Roman"/>
          <w:b/>
          <w:sz w:val="30"/>
          <w:szCs w:val="30"/>
          <w:lang w:eastAsia="ru-RU"/>
        </w:rPr>
        <w:t xml:space="preserve">Выводы. </w:t>
      </w:r>
      <w:r w:rsidRPr="00BD5EEF">
        <w:rPr>
          <w:rFonts w:ascii="Times New Roman" w:eastAsia="Times New Roman" w:hAnsi="Times New Roman" w:cs="Times New Roman"/>
          <w:sz w:val="30"/>
          <w:szCs w:val="30"/>
          <w:lang w:eastAsia="ru-RU"/>
        </w:rPr>
        <w:t xml:space="preserve">Таким образом, в результате испытаний комплексного удобрения и симулятора роста «ЭМИКС» при посадке винограда сорта Каберне-Совиньон клон 685, доказано его положительное влияние на виноградные растения, которое выразилось в увеличении показателей структуры корневой системы и улучшении приживаемости саженцев на 20 %. Применение корневых подкормок в опытных вариантах обеспечило активный рост побегов и их лучшее вызревание. </w:t>
      </w:r>
    </w:p>
    <w:p w:rsidR="00BD5EEF" w:rsidRPr="00BD5EEF" w:rsidRDefault="00BD5EEF" w:rsidP="00BD5EEF">
      <w:pPr>
        <w:spacing w:before="240" w:after="120" w:line="240" w:lineRule="auto"/>
        <w:jc w:val="center"/>
        <w:rPr>
          <w:rFonts w:ascii="Times New Roman" w:eastAsia="Times New Roman" w:hAnsi="Times New Roman" w:cs="Times New Roman"/>
          <w:color w:val="000000"/>
          <w:sz w:val="24"/>
          <w:szCs w:val="24"/>
          <w:lang w:eastAsia="ru-RU"/>
        </w:rPr>
      </w:pPr>
      <w:r w:rsidRPr="00BD5EEF">
        <w:rPr>
          <w:rFonts w:ascii="Times New Roman" w:eastAsia="Times New Roman" w:hAnsi="Times New Roman" w:cs="Times New Roman"/>
          <w:color w:val="000000"/>
          <w:sz w:val="24"/>
          <w:szCs w:val="24"/>
          <w:lang w:eastAsia="ru-RU"/>
        </w:rPr>
        <w:t>Литература</w:t>
      </w:r>
    </w:p>
    <w:p w:rsidR="00BD5EEF" w:rsidRPr="00BD5EEF" w:rsidRDefault="00BD5EEF" w:rsidP="00BD5EEF">
      <w:pPr>
        <w:autoSpaceDE w:val="0"/>
        <w:autoSpaceDN w:val="0"/>
        <w:adjustRightInd w:val="0"/>
        <w:spacing w:after="0" w:line="240" w:lineRule="auto"/>
        <w:ind w:left="-2" w:firstLine="569"/>
        <w:jc w:val="both"/>
        <w:rPr>
          <w:rFonts w:ascii="Times New Roman" w:eastAsia="Times New Roman" w:hAnsi="Times New Roman" w:cs="Times New Roman"/>
          <w:sz w:val="24"/>
          <w:szCs w:val="24"/>
          <w:lang w:val="uk-UA" w:eastAsia="ru-RU"/>
        </w:rPr>
      </w:pPr>
      <w:r w:rsidRPr="00BD5EEF">
        <w:rPr>
          <w:rFonts w:ascii="Times New Roman" w:eastAsia="Times New Roman" w:hAnsi="Times New Roman" w:cs="Times New Roman"/>
          <w:sz w:val="24"/>
          <w:szCs w:val="24"/>
          <w:lang w:eastAsia="ru-RU"/>
        </w:rPr>
        <w:t>1. Бейбулатов, М.Р. Применение гуминовых препаратов и комплексных микроудобрений – залог качества посадочного материала и урожая винограда / М.Р. Бейбулатов, Н.А. Урденко, В.Н. Ласкавый // «Магарач»</w:t>
      </w:r>
      <w:r w:rsidRPr="00BD5EEF">
        <w:rPr>
          <w:rFonts w:ascii="Times New Roman" w:eastAsia="Times New Roman" w:hAnsi="Times New Roman" w:cs="Times New Roman"/>
          <w:sz w:val="24"/>
          <w:szCs w:val="24"/>
          <w:lang w:val="uk-UA" w:eastAsia="ru-RU"/>
        </w:rPr>
        <w:t>:</w:t>
      </w:r>
      <w:r w:rsidRPr="00BD5EEF">
        <w:rPr>
          <w:rFonts w:ascii="Times New Roman" w:eastAsia="Times New Roman" w:hAnsi="Times New Roman" w:cs="Times New Roman"/>
          <w:sz w:val="24"/>
          <w:szCs w:val="24"/>
          <w:lang w:eastAsia="ru-RU"/>
        </w:rPr>
        <w:t xml:space="preserve"> Виноградарство и виноделие, Ялта, 2010. –</w:t>
      </w:r>
      <w:r w:rsidRPr="00BD5EEF">
        <w:rPr>
          <w:rFonts w:ascii="Times New Roman" w:eastAsia="Times New Roman" w:hAnsi="Times New Roman" w:cs="Times New Roman"/>
          <w:sz w:val="24"/>
          <w:szCs w:val="24"/>
          <w:lang w:val="uk-UA" w:eastAsia="ru-RU"/>
        </w:rPr>
        <w:t xml:space="preserve"> </w:t>
      </w:r>
      <w:r w:rsidRPr="00BD5EEF">
        <w:rPr>
          <w:rFonts w:ascii="Times New Roman" w:eastAsia="Times New Roman" w:hAnsi="Times New Roman" w:cs="Times New Roman"/>
          <w:sz w:val="24"/>
          <w:szCs w:val="24"/>
          <w:lang w:eastAsia="ru-RU"/>
        </w:rPr>
        <w:t>№2. – С. 8-11</w:t>
      </w:r>
      <w:r w:rsidRPr="00BD5EEF">
        <w:rPr>
          <w:rFonts w:ascii="Times New Roman" w:eastAsia="Times New Roman" w:hAnsi="Times New Roman" w:cs="Times New Roman"/>
          <w:sz w:val="24"/>
          <w:szCs w:val="24"/>
          <w:lang w:val="uk-UA" w:eastAsia="ru-RU"/>
        </w:rPr>
        <w:t>.</w:t>
      </w:r>
    </w:p>
    <w:p w:rsidR="00BD5EEF" w:rsidRPr="00BD5EEF" w:rsidRDefault="00BD5EEF" w:rsidP="00BD5EEF">
      <w:pPr>
        <w:autoSpaceDE w:val="0"/>
        <w:autoSpaceDN w:val="0"/>
        <w:adjustRightInd w:val="0"/>
        <w:spacing w:after="0" w:line="240" w:lineRule="auto"/>
        <w:ind w:left="-2" w:firstLine="569"/>
        <w:jc w:val="both"/>
        <w:rPr>
          <w:rFonts w:ascii="Times New Roman" w:eastAsia="Times New Roman" w:hAnsi="Times New Roman" w:cs="Times New Roman"/>
          <w:sz w:val="24"/>
          <w:szCs w:val="24"/>
          <w:lang w:val="uk-UA" w:eastAsia="ru-RU"/>
        </w:rPr>
      </w:pPr>
      <w:r w:rsidRPr="00BD5EEF">
        <w:rPr>
          <w:rFonts w:ascii="Times New Roman" w:eastAsia="Times New Roman" w:hAnsi="Times New Roman" w:cs="Times New Roman"/>
          <w:sz w:val="24"/>
          <w:szCs w:val="24"/>
          <w:lang w:eastAsia="ru-RU"/>
        </w:rPr>
        <w:t>2. Бейбулатов, М.Р. Технология сохранения влаги в корнеобитаемом слое почвы.  Перспективы развития виноградарства и виноделия в странах СНГ / М.Р. Бейбулатов, Н.А. Тихомирова, Н.А. Урденко // Тезисы докладов и сообщений Международной научно-практической конференции, посвященной 180-летию НИВиВ «Магарач», Ялта, Т-</w:t>
      </w:r>
      <w:r w:rsidRPr="00BD5EEF">
        <w:rPr>
          <w:rFonts w:ascii="Times New Roman" w:eastAsia="Times New Roman" w:hAnsi="Times New Roman" w:cs="Times New Roman"/>
          <w:sz w:val="24"/>
          <w:szCs w:val="24"/>
          <w:lang w:val="en-US" w:eastAsia="ru-RU"/>
        </w:rPr>
        <w:t>I</w:t>
      </w:r>
      <w:r w:rsidRPr="00BD5EEF">
        <w:rPr>
          <w:rFonts w:ascii="Times New Roman" w:eastAsia="Times New Roman" w:hAnsi="Times New Roman" w:cs="Times New Roman"/>
          <w:sz w:val="24"/>
          <w:szCs w:val="24"/>
          <w:lang w:eastAsia="ru-RU"/>
        </w:rPr>
        <w:t>, 2008, С. 103–105.</w:t>
      </w:r>
    </w:p>
    <w:p w:rsidR="00BD5EEF" w:rsidRPr="00BD5EEF" w:rsidRDefault="00BD5EEF" w:rsidP="00BD5EEF">
      <w:pPr>
        <w:spacing w:after="0" w:line="240" w:lineRule="auto"/>
        <w:ind w:firstLine="569"/>
        <w:jc w:val="both"/>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val="uk-UA" w:eastAsia="ru-RU"/>
        </w:rPr>
        <w:t>3</w:t>
      </w:r>
      <w:r w:rsidRPr="00BD5EEF">
        <w:rPr>
          <w:rFonts w:ascii="Times New Roman" w:eastAsia="Times New Roman" w:hAnsi="Times New Roman" w:cs="Times New Roman"/>
          <w:sz w:val="24"/>
          <w:szCs w:val="24"/>
          <w:lang w:eastAsia="ru-RU"/>
        </w:rPr>
        <w:t xml:space="preserve"> Дикань, А.П. Виноградарство Крыма / А.П. Дикань, В.Ф. Вильчинский, </w:t>
      </w:r>
      <w:r w:rsidRPr="00BD5EEF">
        <w:rPr>
          <w:rFonts w:ascii="Times New Roman" w:eastAsia="Times New Roman" w:hAnsi="Times New Roman" w:cs="Times New Roman"/>
          <w:sz w:val="24"/>
          <w:szCs w:val="24"/>
          <w:lang w:eastAsia="ru-RU"/>
        </w:rPr>
        <w:br/>
        <w:t>Э.А. Верновский, И.Я. Заяц. – Симферополь: Бизнес-Информ, 2001. – 408 с.</w:t>
      </w:r>
    </w:p>
    <w:p w:rsidR="00BD5EEF" w:rsidRPr="00BD5EEF" w:rsidRDefault="00BD5EEF" w:rsidP="00BD5EEF">
      <w:pPr>
        <w:spacing w:after="0" w:line="240" w:lineRule="auto"/>
        <w:ind w:firstLine="569"/>
        <w:jc w:val="both"/>
        <w:rPr>
          <w:rFonts w:ascii="Times New Roman" w:eastAsia="Times New Roman" w:hAnsi="Times New Roman" w:cs="Times New Roman"/>
          <w:color w:val="000000"/>
          <w:sz w:val="24"/>
          <w:szCs w:val="24"/>
          <w:shd w:val="clear" w:color="auto" w:fill="FFFFFF"/>
          <w:lang w:eastAsia="ru-RU"/>
        </w:rPr>
      </w:pPr>
      <w:r w:rsidRPr="00BD5EEF">
        <w:rPr>
          <w:rFonts w:ascii="Times New Roman" w:eastAsia="Times New Roman" w:hAnsi="Times New Roman" w:cs="Times New Roman"/>
          <w:color w:val="000000"/>
          <w:sz w:val="24"/>
          <w:szCs w:val="24"/>
          <w:shd w:val="clear" w:color="auto" w:fill="FFFFFF"/>
          <w:lang w:eastAsia="ru-RU"/>
        </w:rPr>
        <w:t>4. Зональная система ведения виноградарства: монография / Н.О. Арестова и др.; ГНУ ВНИИВиВ им Я.И. Потапенко Россельхозакадемии. – Новочеркасск, 2013. – 80 с. </w:t>
      </w:r>
    </w:p>
    <w:p w:rsidR="00BD5EEF" w:rsidRPr="00BD5EEF" w:rsidRDefault="00BD5EEF" w:rsidP="00BD5EEF">
      <w:pPr>
        <w:spacing w:after="0" w:line="240" w:lineRule="auto"/>
        <w:ind w:firstLine="569"/>
        <w:jc w:val="both"/>
        <w:rPr>
          <w:rFonts w:ascii="Times New Roman" w:eastAsia="Times New Roman" w:hAnsi="Times New Roman" w:cs="Times New Roman"/>
          <w:color w:val="000000"/>
          <w:sz w:val="24"/>
          <w:szCs w:val="24"/>
          <w:shd w:val="clear" w:color="auto" w:fill="FFFFFF"/>
          <w:lang w:eastAsia="ru-RU"/>
        </w:rPr>
      </w:pPr>
      <w:r w:rsidRPr="00BD5EEF">
        <w:rPr>
          <w:rFonts w:ascii="Times New Roman" w:eastAsia="Times New Roman" w:hAnsi="Times New Roman" w:cs="Times New Roman"/>
          <w:sz w:val="24"/>
          <w:szCs w:val="24"/>
          <w:lang w:eastAsia="ru-RU"/>
        </w:rPr>
        <w:t>5. Малых, Г.П. Современные технологии создания маточников размножения и посадки винограда, монография / Г.П. Малых, А.С. Магомадов – Новочеркасск: Изд-во ВНИИВиВ. – 2012. – 149 с.</w:t>
      </w:r>
    </w:p>
    <w:p w:rsidR="00BD5EEF" w:rsidRPr="00BD5EEF" w:rsidRDefault="00BD5EEF" w:rsidP="00BD5EEF">
      <w:pPr>
        <w:spacing w:after="0" w:line="240" w:lineRule="auto"/>
        <w:ind w:firstLine="569"/>
        <w:jc w:val="both"/>
        <w:rPr>
          <w:rFonts w:ascii="Times New Roman" w:eastAsia="Times New Roman" w:hAnsi="Times New Roman" w:cs="Times New Roman"/>
          <w:sz w:val="24"/>
          <w:szCs w:val="24"/>
          <w:lang w:eastAsia="ru-RU"/>
        </w:rPr>
      </w:pPr>
      <w:r w:rsidRPr="00BD5EEF">
        <w:rPr>
          <w:rFonts w:ascii="Times New Roman" w:eastAsia="Times New Roman" w:hAnsi="Times New Roman" w:cs="Times New Roman"/>
          <w:sz w:val="24"/>
          <w:szCs w:val="24"/>
          <w:lang w:eastAsia="ru-RU"/>
        </w:rPr>
        <w:t>6. Половицкий, И.Я. Почвы Крыма и повышение их плодородия / И.Я. Половицкий, П.Г. Гусев. – Симферополь: Таврия. – 1987. – 152 с.</w:t>
      </w:r>
    </w:p>
    <w:p w:rsidR="00BD5EEF" w:rsidRPr="00BD5EEF" w:rsidRDefault="00BD5EEF" w:rsidP="00BD5EEF">
      <w:pPr>
        <w:spacing w:after="0" w:line="240" w:lineRule="auto"/>
        <w:ind w:firstLine="569"/>
        <w:jc w:val="both"/>
        <w:rPr>
          <w:rFonts w:ascii="Times New Roman" w:eastAsia="Times New Roman" w:hAnsi="Times New Roman" w:cs="Times New Roman"/>
          <w:color w:val="000000"/>
          <w:sz w:val="24"/>
          <w:szCs w:val="24"/>
          <w:lang w:eastAsia="ru-RU"/>
        </w:rPr>
      </w:pPr>
      <w:r w:rsidRPr="00BD5EEF">
        <w:rPr>
          <w:rFonts w:ascii="Times New Roman" w:eastAsia="Times New Roman" w:hAnsi="Times New Roman" w:cs="Times New Roman"/>
          <w:color w:val="000000"/>
          <w:sz w:val="24"/>
          <w:szCs w:val="24"/>
          <w:shd w:val="clear" w:color="auto" w:fill="FFFFFF"/>
          <w:lang w:eastAsia="ru-RU"/>
        </w:rPr>
        <w:t>7. Малых, Г.П. Приемы повышения приживаемости саженцев и получение высоких урожаев винограда на Терско-Кумских песках: монография / Г.П. Малых, А.С. Магомадов; Донской гос. аграрный университет. – Новочеркасск: ДонГАУ, 2010. — 142 с.</w:t>
      </w:r>
    </w:p>
    <w:p w:rsidR="00BD5EEF" w:rsidRPr="00BD5EEF" w:rsidRDefault="00BD5EEF" w:rsidP="00BD5EEF">
      <w:pPr>
        <w:spacing w:after="0" w:line="240" w:lineRule="auto"/>
        <w:ind w:firstLine="569"/>
        <w:jc w:val="both"/>
        <w:rPr>
          <w:rFonts w:ascii="Times New Roman" w:eastAsia="Times New Roman" w:hAnsi="Times New Roman" w:cs="Times New Roman"/>
          <w:color w:val="000000"/>
          <w:sz w:val="24"/>
          <w:szCs w:val="24"/>
          <w:lang w:eastAsia="ru-RU"/>
        </w:rPr>
      </w:pPr>
      <w:r w:rsidRPr="00BD5EEF">
        <w:rPr>
          <w:rFonts w:ascii="Times New Roman" w:eastAsia="Times New Roman" w:hAnsi="Times New Roman" w:cs="Times New Roman"/>
          <w:color w:val="000000"/>
          <w:sz w:val="24"/>
          <w:szCs w:val="24"/>
          <w:lang w:eastAsia="ru-RU"/>
        </w:rPr>
        <w:t>8. Чигрик, Б.В. Агробиологические особенности клонов сортов винограда: Мерло, Каберне Совиньон, Шираз в условиях Темрюкского района Краснодарского края / Б.В. Чигрик, Ш.Н. Гусейнов, Н.Г. Гордеева // Виноградарство и виноделие. – 2010. – №3. – С. 26–28.</w:t>
      </w:r>
    </w:p>
    <w:p w:rsidR="00BD5EEF" w:rsidRPr="00BD5EEF" w:rsidRDefault="00BD5EEF" w:rsidP="00BD5EEF">
      <w:pPr>
        <w:spacing w:after="0" w:line="240" w:lineRule="auto"/>
        <w:ind w:firstLine="569"/>
        <w:jc w:val="both"/>
        <w:rPr>
          <w:rFonts w:ascii="Times New Roman" w:eastAsia="Times New Roman" w:hAnsi="Times New Roman" w:cs="Times New Roman"/>
          <w:color w:val="000000"/>
          <w:sz w:val="24"/>
          <w:szCs w:val="24"/>
          <w:lang w:eastAsia="ru-RU"/>
        </w:rPr>
      </w:pPr>
      <w:r w:rsidRPr="00BD5EEF">
        <w:rPr>
          <w:rFonts w:ascii="Times New Roman" w:eastAsia="Times New Roman" w:hAnsi="Times New Roman" w:cs="Times New Roman"/>
          <w:color w:val="000000"/>
          <w:sz w:val="24"/>
          <w:szCs w:val="24"/>
          <w:lang w:eastAsia="ru-RU"/>
        </w:rPr>
        <w:lastRenderedPageBreak/>
        <w:t>9. Чигрик, Б.В. Научные агротехнологические аспекты культуры винограда в условиях юга России: автореф. дис. …д.с.-х. наук. – Краснодар, 2013. – 51 с.</w:t>
      </w:r>
    </w:p>
    <w:p w:rsidR="00FD7B51" w:rsidRPr="001876F8" w:rsidRDefault="00FD7B51">
      <w:bookmarkStart w:id="0" w:name="_GoBack"/>
      <w:bookmarkEnd w:id="0"/>
    </w:p>
    <w:sectPr w:rsidR="00FD7B51" w:rsidRPr="001876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87C" w:rsidRDefault="00E2087C" w:rsidP="00B50365">
      <w:pPr>
        <w:spacing w:after="0" w:line="240" w:lineRule="auto"/>
      </w:pPr>
      <w:r>
        <w:separator/>
      </w:r>
    </w:p>
  </w:endnote>
  <w:endnote w:type="continuationSeparator" w:id="0">
    <w:p w:rsidR="00E2087C" w:rsidRDefault="00E2087C" w:rsidP="00B5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87C" w:rsidRDefault="00E2087C" w:rsidP="00B50365">
      <w:pPr>
        <w:spacing w:after="0" w:line="240" w:lineRule="auto"/>
      </w:pPr>
      <w:r>
        <w:separator/>
      </w:r>
    </w:p>
  </w:footnote>
  <w:footnote w:type="continuationSeparator" w:id="0">
    <w:p w:rsidR="00E2087C" w:rsidRDefault="00E2087C" w:rsidP="00B50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38"/>
    <w:rsid w:val="00065038"/>
    <w:rsid w:val="001142C9"/>
    <w:rsid w:val="001876F8"/>
    <w:rsid w:val="00213336"/>
    <w:rsid w:val="00240649"/>
    <w:rsid w:val="00294AB7"/>
    <w:rsid w:val="002B2CF9"/>
    <w:rsid w:val="003B4FAE"/>
    <w:rsid w:val="004A7AFD"/>
    <w:rsid w:val="006C4562"/>
    <w:rsid w:val="00800A08"/>
    <w:rsid w:val="00B1021A"/>
    <w:rsid w:val="00B50365"/>
    <w:rsid w:val="00BD5EEF"/>
    <w:rsid w:val="00C6437B"/>
    <w:rsid w:val="00E2087C"/>
    <w:rsid w:val="00F17722"/>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269B4A-FB0A-4D0A-AC35-7D533EE4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hyperlink" Target="http://vinograd.info/spravka/slovar/seraya-gnil.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nograd.info/spravka/slovar/mildyu.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9"/>
      <c:hPercent val="55"/>
      <c:rotY val="21"/>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02852614897022"/>
          <c:y val="2.163461538461562E-2"/>
          <c:w val="0.82408874801901744"/>
          <c:h val="0.70842944631921334"/>
        </c:manualLayout>
      </c:layout>
      <c:bar3DChart>
        <c:barDir val="col"/>
        <c:grouping val="clustered"/>
        <c:varyColors val="0"/>
        <c:ser>
          <c:idx val="0"/>
          <c:order val="0"/>
          <c:tx>
            <c:strRef>
              <c:f>Лист3!$A$2</c:f>
              <c:strCache>
                <c:ptCount val="1"/>
                <c:pt idx="0">
                  <c:v>Вариант I (посадка саженцев с препаратом "ЭМИКС") в жидком виде</c:v>
                </c:pt>
              </c:strCache>
            </c:strRef>
          </c:tx>
          <c:spPr>
            <a:solidFill>
              <a:srgbClr val="FF9900"/>
            </a:solidFill>
            <a:ln w="12654">
              <a:solidFill>
                <a:srgbClr val="000000"/>
              </a:solidFill>
              <a:prstDash val="solid"/>
            </a:ln>
          </c:spPr>
          <c:invertIfNegative val="0"/>
          <c:dLbls>
            <c:dLbl>
              <c:idx val="0"/>
              <c:layout>
                <c:manualLayout>
                  <c:x val="4.0547229536088488E-4"/>
                  <c:y val="7.2785433070866531E-2"/>
                </c:manualLayout>
              </c:layout>
              <c:spPr>
                <a:noFill/>
                <a:ln w="25308">
                  <a:noFill/>
                </a:ln>
              </c:spPr>
              <c:txPr>
                <a:bodyPr/>
                <a:lstStyle/>
                <a:p>
                  <a:pPr>
                    <a:defRPr sz="129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08">
                <a:noFill/>
              </a:ln>
            </c:spPr>
            <c:txPr>
              <a:bodyPr wrap="square" lIns="38100" tIns="19050" rIns="38100" bIns="19050" anchor="ctr">
                <a:spAutoFit/>
              </a:bodyPr>
              <a:lstStyle/>
              <a:p>
                <a:pPr>
                  <a:defRPr sz="129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Лист3!$B$2</c:f>
              <c:numCache>
                <c:formatCode>General</c:formatCode>
                <c:ptCount val="1"/>
                <c:pt idx="0">
                  <c:v>97.8</c:v>
                </c:pt>
              </c:numCache>
            </c:numRef>
          </c:val>
        </c:ser>
        <c:ser>
          <c:idx val="1"/>
          <c:order val="1"/>
          <c:tx>
            <c:strRef>
              <c:f>Лист3!$A$3</c:f>
              <c:strCache>
                <c:ptCount val="1"/>
                <c:pt idx="0">
                  <c:v>Вариант II (посадка саженцев с препаратом "ЭМИКС") в сухом виде</c:v>
                </c:pt>
              </c:strCache>
            </c:strRef>
          </c:tx>
          <c:spPr>
            <a:solidFill>
              <a:srgbClr val="993300"/>
            </a:solidFill>
            <a:ln w="12654">
              <a:solidFill>
                <a:srgbClr val="000000"/>
              </a:solidFill>
              <a:prstDash val="solid"/>
            </a:ln>
          </c:spPr>
          <c:invertIfNegative val="0"/>
          <c:dLbls>
            <c:dLbl>
              <c:idx val="0"/>
              <c:layout>
                <c:manualLayout>
                  <c:x val="-9.7499698433103292E-4"/>
                  <c:y val="7.4285534019786381E-2"/>
                </c:manualLayout>
              </c:layout>
              <c:tx>
                <c:rich>
                  <a:bodyPr/>
                  <a:lstStyle/>
                  <a:p>
                    <a:r>
                      <a:rPr lang="en-US">
                        <a:solidFill>
                          <a:schemeClr val="tx1"/>
                        </a:solidFill>
                      </a:rPr>
                      <a:t>96,9</a:t>
                    </a:r>
                  </a:p>
                </c:rich>
              </c:tx>
              <c:showLegendKey val="0"/>
              <c:showVal val="0"/>
              <c:showCatName val="0"/>
              <c:showSerName val="0"/>
              <c:showPercent val="0"/>
              <c:showBubbleSize val="0"/>
              <c:extLst>
                <c:ext xmlns:c15="http://schemas.microsoft.com/office/drawing/2012/chart" uri="{CE6537A1-D6FC-4f65-9D91-7224C49458BB}"/>
              </c:extLst>
            </c:dLbl>
            <c:spPr>
              <a:noFill/>
              <a:ln w="25308">
                <a:noFill/>
              </a:ln>
            </c:spPr>
            <c:txPr>
              <a:bodyPr/>
              <a:lstStyle/>
              <a:p>
                <a:pPr>
                  <a:defRPr sz="1295" b="0" i="0" u="none" strike="noStrike" baseline="0">
                    <a:solidFill>
                      <a:schemeClr val="tx1"/>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Лист3!$B$3</c:f>
              <c:numCache>
                <c:formatCode>General</c:formatCode>
                <c:ptCount val="1"/>
                <c:pt idx="0">
                  <c:v>96.9</c:v>
                </c:pt>
              </c:numCache>
            </c:numRef>
          </c:val>
        </c:ser>
        <c:ser>
          <c:idx val="2"/>
          <c:order val="2"/>
          <c:tx>
            <c:strRef>
              <c:f>Лист3!$A$4</c:f>
              <c:strCache>
                <c:ptCount val="1"/>
                <c:pt idx="0">
                  <c:v>Контроль (без применения препарата)</c:v>
                </c:pt>
              </c:strCache>
            </c:strRef>
          </c:tx>
          <c:spPr>
            <a:solidFill>
              <a:srgbClr val="FFCC99"/>
            </a:solidFill>
            <a:ln w="12654">
              <a:solidFill>
                <a:srgbClr val="000000"/>
              </a:solidFill>
              <a:prstDash val="solid"/>
            </a:ln>
          </c:spPr>
          <c:invertIfNegative val="0"/>
          <c:dLbls>
            <c:dLbl>
              <c:idx val="0"/>
              <c:layout>
                <c:manualLayout>
                  <c:x val="5.0741110318898094E-3"/>
                  <c:y val="8.1491932414023235E-2"/>
                </c:manualLayout>
              </c:layout>
              <c:spPr>
                <a:noFill/>
                <a:ln w="25308">
                  <a:noFill/>
                </a:ln>
              </c:spPr>
              <c:txPr>
                <a:bodyPr/>
                <a:lstStyle/>
                <a:p>
                  <a:pPr>
                    <a:defRPr sz="129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08">
                <a:noFill/>
              </a:ln>
            </c:spPr>
            <c:txPr>
              <a:bodyPr wrap="square" lIns="38100" tIns="19050" rIns="38100" bIns="19050" anchor="ctr">
                <a:spAutoFit/>
              </a:bodyPr>
              <a:lstStyle/>
              <a:p>
                <a:pPr>
                  <a:defRPr sz="129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Лист3!$B$4</c:f>
              <c:numCache>
                <c:formatCode>General</c:formatCode>
                <c:ptCount val="1"/>
                <c:pt idx="0">
                  <c:v>82.1</c:v>
                </c:pt>
              </c:numCache>
            </c:numRef>
          </c:val>
        </c:ser>
        <c:dLbls>
          <c:showLegendKey val="0"/>
          <c:showVal val="0"/>
          <c:showCatName val="0"/>
          <c:showSerName val="0"/>
          <c:showPercent val="0"/>
          <c:showBubbleSize val="0"/>
        </c:dLbls>
        <c:gapWidth val="150"/>
        <c:shape val="box"/>
        <c:axId val="-1755105488"/>
        <c:axId val="-1755095696"/>
        <c:axId val="0"/>
      </c:bar3DChart>
      <c:catAx>
        <c:axId val="-1755105488"/>
        <c:scaling>
          <c:orientation val="minMax"/>
        </c:scaling>
        <c:delete val="1"/>
        <c:axPos val="b"/>
        <c:majorTickMark val="out"/>
        <c:minorTickMark val="none"/>
        <c:tickLblPos val="nextTo"/>
        <c:crossAx val="-1755095696"/>
        <c:crosses val="autoZero"/>
        <c:auto val="1"/>
        <c:lblAlgn val="ctr"/>
        <c:lblOffset val="100"/>
        <c:noMultiLvlLbl val="0"/>
      </c:catAx>
      <c:valAx>
        <c:axId val="-1755095696"/>
        <c:scaling>
          <c:orientation val="minMax"/>
        </c:scaling>
        <c:delete val="0"/>
        <c:axPos val="l"/>
        <c:majorGridlines>
          <c:spPr>
            <a:ln w="3163">
              <a:solidFill>
                <a:srgbClr val="000000"/>
              </a:solidFill>
              <a:prstDash val="solid"/>
            </a:ln>
          </c:spPr>
        </c:majorGridlines>
        <c:title>
          <c:tx>
            <c:rich>
              <a:bodyPr rot="0" vert="horz"/>
              <a:lstStyle/>
              <a:p>
                <a:pPr algn="ctr">
                  <a:defRPr sz="1294" b="0" i="0" u="none" strike="noStrike" baseline="0">
                    <a:solidFill>
                      <a:srgbClr val="000000"/>
                    </a:solidFill>
                    <a:latin typeface="Times New Roman"/>
                    <a:ea typeface="Times New Roman"/>
                    <a:cs typeface="Times New Roman"/>
                  </a:defRPr>
                </a:pPr>
                <a:r>
                  <a:rPr lang="ru-RU"/>
                  <a:t>%</a:t>
                </a:r>
              </a:p>
            </c:rich>
          </c:tx>
          <c:layout>
            <c:manualLayout>
              <c:xMode val="edge"/>
              <c:yMode val="edge"/>
              <c:x val="0.14537354779939354"/>
              <c:y val="0.39528749951032238"/>
            </c:manualLayout>
          </c:layout>
          <c:overlay val="0"/>
          <c:spPr>
            <a:noFill/>
            <a:ln w="25308">
              <a:noFill/>
            </a:ln>
          </c:spPr>
        </c:title>
        <c:numFmt formatCode="General" sourceLinked="1"/>
        <c:majorTickMark val="out"/>
        <c:minorTickMark val="none"/>
        <c:tickLblPos val="nextTo"/>
        <c:spPr>
          <a:ln w="3163">
            <a:solidFill>
              <a:srgbClr val="000000"/>
            </a:solidFill>
            <a:prstDash val="solid"/>
          </a:ln>
        </c:spPr>
        <c:txPr>
          <a:bodyPr rot="0" vert="horz"/>
          <a:lstStyle/>
          <a:p>
            <a:pPr>
              <a:defRPr sz="1294" b="0" i="0" u="none" strike="noStrike" baseline="0">
                <a:solidFill>
                  <a:srgbClr val="000000"/>
                </a:solidFill>
                <a:latin typeface="Times New Roman"/>
                <a:ea typeface="Times New Roman"/>
                <a:cs typeface="Times New Roman"/>
              </a:defRPr>
            </a:pPr>
            <a:endParaRPr lang="ru-RU"/>
          </a:p>
        </c:txPr>
        <c:crossAx val="-1755105488"/>
        <c:crosses val="autoZero"/>
        <c:crossBetween val="between"/>
      </c:valAx>
      <c:spPr>
        <a:noFill/>
        <a:ln w="25380">
          <a:noFill/>
        </a:ln>
      </c:spPr>
    </c:plotArea>
    <c:legend>
      <c:legendPos val="r"/>
      <c:layout>
        <c:manualLayout>
          <c:xMode val="edge"/>
          <c:yMode val="edge"/>
          <c:x val="8.3465398837823557E-2"/>
          <c:y val="0.76142844830963297"/>
          <c:w val="0.87638668779714735"/>
          <c:h val="0.22857115994829003"/>
        </c:manualLayout>
      </c:layout>
      <c:overlay val="0"/>
      <c:spPr>
        <a:solidFill>
          <a:srgbClr val="FFFFFF"/>
        </a:solidFill>
        <a:ln w="25308">
          <a:noFill/>
        </a:ln>
      </c:spPr>
      <c:txPr>
        <a:bodyPr/>
        <a:lstStyle/>
        <a:p>
          <a:pPr>
            <a:defRPr sz="1295" b="0" i="0" u="none" strike="noStrike" kern="900"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94"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2419</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2016-12-20T06:43:00Z</dcterms:created>
  <dcterms:modified xsi:type="dcterms:W3CDTF">2016-12-20T06:43:00Z</dcterms:modified>
</cp:coreProperties>
</file>