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Look w:val="00A0" w:firstRow="1" w:lastRow="0" w:firstColumn="1" w:lastColumn="0" w:noHBand="0" w:noVBand="0"/>
      </w:tblPr>
      <w:tblGrid>
        <w:gridCol w:w="4821"/>
        <w:gridCol w:w="4394"/>
      </w:tblGrid>
      <w:tr w:rsidR="00841797" w:rsidRPr="00841797" w:rsidTr="00C93F91">
        <w:trPr>
          <w:trHeight w:val="650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before="480"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УДК </w:t>
            </w:r>
            <w:proofErr w:type="gramStart"/>
            <w:r w:rsidRPr="0084179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634.86:631.565.004.3</w:t>
            </w:r>
            <w:proofErr w:type="gramEnd"/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841797" w:rsidRPr="00841797" w:rsidTr="00C93F91">
        <w:trPr>
          <w:trHeight w:val="761"/>
          <w:jc w:val="center"/>
        </w:trPr>
        <w:tc>
          <w:tcPr>
            <w:tcW w:w="9215" w:type="dxa"/>
            <w:gridSpan w:val="2"/>
          </w:tcPr>
          <w:p w:rsidR="00841797" w:rsidRPr="00841797" w:rsidRDefault="00841797" w:rsidP="008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ВЛИЯНИЕ ВНЕКОРНЕВОЙ ПОДКОРМКИ </w:t>
            </w:r>
          </w:p>
          <w:p w:rsidR="00841797" w:rsidRPr="00841797" w:rsidRDefault="00841797" w:rsidP="008417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ТРАНСПОРТАБЕЛЬНЫЕ ХАРАКТЕРИСТИКИ СТОЛОВЫХ СОРТОВ ВИНОГРАДА</w:t>
            </w:r>
          </w:p>
          <w:p w:rsidR="00841797" w:rsidRPr="00841797" w:rsidRDefault="00841797" w:rsidP="008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 w:eastAsia="ru-RU"/>
              </w:rPr>
              <w:t>INFLUENCE OF FOLIAR FEEDING ON TRANSPORTABLE</w:t>
            </w:r>
          </w:p>
          <w:p w:rsidR="00841797" w:rsidRPr="00841797" w:rsidRDefault="00841797" w:rsidP="008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 w:eastAsia="ru-RU"/>
              </w:rPr>
              <w:t>CHARACTERISTICS OF TABLE GRAPE VARIETIES</w:t>
            </w:r>
          </w:p>
        </w:tc>
      </w:tr>
      <w:tr w:rsidR="00841797" w:rsidRPr="00841797" w:rsidTr="00C93F91">
        <w:trPr>
          <w:trHeight w:val="312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</w:tr>
      <w:tr w:rsidR="00841797" w:rsidRPr="00841797" w:rsidTr="00C93F91">
        <w:trPr>
          <w:trHeight w:val="296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В.А. Бойко, С.В. Левченко </w:t>
            </w:r>
          </w:p>
        </w:tc>
        <w:tc>
          <w:tcPr>
            <w:tcW w:w="4394" w:type="dxa"/>
          </w:tcPr>
          <w:p w:rsidR="00841797" w:rsidRPr="00841797" w:rsidRDefault="00841797" w:rsidP="00841797">
            <w:pPr>
              <w:tabs>
                <w:tab w:val="center" w:pos="5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V</w:t>
            </w:r>
            <w:r w:rsidRPr="0084179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 w:rsidRPr="00841797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A</w:t>
            </w:r>
            <w:r w:rsidRPr="0084179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Boyko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Pr="00841797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S</w:t>
            </w:r>
            <w:r w:rsidRPr="0084179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  <w:r w:rsidRPr="00841797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V</w:t>
            </w:r>
            <w:r w:rsidRPr="0084179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Levchenko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</w:tc>
      </w:tr>
      <w:tr w:rsidR="00841797" w:rsidRPr="00841797" w:rsidTr="00C93F91">
        <w:trPr>
          <w:trHeight w:val="313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41797" w:rsidRPr="00841797" w:rsidTr="00C93F91">
        <w:trPr>
          <w:trHeight w:val="319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lang w:eastAsia="ru-RU"/>
              </w:rPr>
              <w:t>ФГБУН «Всероссийский национальный научно-исследовательский институт винограда и вина «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lang w:eastAsia="ru-RU"/>
              </w:rPr>
              <w:t>Магарач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lang w:eastAsia="ru-RU"/>
              </w:rPr>
              <w:t>» РАН, 298600, Россия, Республика Крым, г. Ялта, ул. Кирова, 31,</w:t>
            </w:r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841797" w:rsidRPr="00841797" w:rsidRDefault="00841797" w:rsidP="00841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>e-mail: vovhim@mail.ru;</w:t>
            </w:r>
            <w:r w:rsidRPr="0084179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svelevchenko@rambler.ru</w:t>
            </w:r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>Russian National Research Institute of Vine and Wine “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>Magarach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” Russian Academy </w:t>
            </w:r>
          </w:p>
          <w:p w:rsidR="00841797" w:rsidRPr="00841797" w:rsidRDefault="00841797" w:rsidP="0084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>of Science, 31 Kirov St., Yalta, the Republic of Crimea, Russia, 298600</w:t>
            </w:r>
          </w:p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fr-FR" w:eastAsia="ru-RU"/>
              </w:rPr>
            </w:pPr>
            <w:r w:rsidRPr="00841797">
              <w:rPr>
                <w:rFonts w:ascii="Times New Roman" w:eastAsia="Times New Roman" w:hAnsi="Times New Roman" w:cs="Times New Roman"/>
                <w:lang w:val="fr-FR" w:eastAsia="ru-RU"/>
              </w:rPr>
              <w:t>e-mail: vovhim@mail.ru;</w:t>
            </w:r>
            <w:r w:rsidRPr="00841797">
              <w:rPr>
                <w:rFonts w:ascii="Times New Roman" w:eastAsia="Times New Roman" w:hAnsi="Times New Roman" w:cs="Times New Roman"/>
                <w:color w:val="000000"/>
                <w:lang w:val="fr-FR" w:eastAsia="ru-RU"/>
              </w:rPr>
              <w:t xml:space="preserve"> svelevchenko@rambler.ru</w:t>
            </w:r>
          </w:p>
        </w:tc>
      </w:tr>
      <w:tr w:rsidR="00841797" w:rsidRPr="00841797" w:rsidTr="00C93F91">
        <w:trPr>
          <w:trHeight w:val="319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fr-FR" w:eastAsia="ru-RU"/>
              </w:rPr>
            </w:pPr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fr-FR" w:eastAsia="ru-RU"/>
              </w:rPr>
            </w:pPr>
          </w:p>
        </w:tc>
      </w:tr>
      <w:tr w:rsidR="00841797" w:rsidRPr="00841797" w:rsidTr="00C93F91">
        <w:trPr>
          <w:trHeight w:val="319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Аннотация</w:t>
            </w:r>
            <w:r w:rsidRPr="008417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841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Дана оценка влияния внекорневых обработок стимуляторами ростовых процессов на показатели транспортабельности столовых сортов винограда, согласно </w:t>
            </w:r>
            <w:r w:rsidRPr="00841797">
              <w:rPr>
                <w:rFonts w:ascii="Times New Roman" w:eastAsia="Times New Roman" w:hAnsi="Times New Roman" w:cs="Times New Roman"/>
                <w:lang w:eastAsia="ru-RU"/>
              </w:rPr>
              <w:t>предложенным уравнениям регрессии по методике В.А. Бойко, М.Р. 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lang w:eastAsia="ru-RU"/>
              </w:rPr>
              <w:t>Бейбулатова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lang w:eastAsia="ru-RU"/>
              </w:rPr>
              <w:t xml:space="preserve">, характеризующим оценку каждого сорта по трём уровням транспортабельности, что </w:t>
            </w:r>
            <w:r w:rsidRPr="00841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оценивать влияние различных агротехнических приёмов (в частности, внесения внекорневых удобрений) на долю транспортабельных свойств сорта по его отношению к разным группам транспортабельности.</w:t>
            </w:r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Summary.</w:t>
            </w:r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The estimation of the effect of leaf-feeding treatments with growth stimulators on indicators of transportability of table grapes, according to the method of regression proposed by V.A. 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>Boyko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M.R. 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>Beybulatov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>. The method equations evaluates each grade in three levels of portability, which allows evaluating the effect of different agronomic techniques (in particular, the application of leaf-feeding fertilizer) at a fraction of transportable properties of varieties by its attribution to different groups of transportability.</w:t>
            </w:r>
          </w:p>
        </w:tc>
      </w:tr>
      <w:tr w:rsidR="00841797" w:rsidRPr="00841797" w:rsidTr="00C93F91">
        <w:trPr>
          <w:trHeight w:val="319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41797" w:rsidRPr="00841797" w:rsidTr="00C93F91">
        <w:trPr>
          <w:trHeight w:val="47"/>
          <w:jc w:val="center"/>
        </w:trPr>
        <w:tc>
          <w:tcPr>
            <w:tcW w:w="4821" w:type="dxa"/>
          </w:tcPr>
          <w:p w:rsidR="00841797" w:rsidRPr="00841797" w:rsidRDefault="00841797" w:rsidP="0084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Ключевые слова:</w:t>
            </w:r>
            <w:r w:rsidRPr="00841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столовые сорта винограда, регулятор роста, товарное качество.</w:t>
            </w:r>
          </w:p>
        </w:tc>
        <w:tc>
          <w:tcPr>
            <w:tcW w:w="4394" w:type="dxa"/>
          </w:tcPr>
          <w:p w:rsidR="00841797" w:rsidRPr="00841797" w:rsidRDefault="00841797" w:rsidP="0084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1797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Keywords:</w:t>
            </w:r>
            <w:r w:rsidRPr="008417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table grapes, growth regulator, commercial quality.</w:t>
            </w:r>
          </w:p>
        </w:tc>
      </w:tr>
    </w:tbl>
    <w:p w:rsidR="00841797" w:rsidRPr="00841797" w:rsidRDefault="00841797" w:rsidP="0084179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Введение.</w:t>
      </w:r>
      <w:r w:rsidRPr="008417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технологическим требованиям, предъявляемым к столовому винограду, важное место среди критериев качества отводится транспортабельным свойствам сорта. Транспортабельность столового винограда оценивается по косвенным показателям и может быть охарактеризована с помощью коэффициента транспортабельности, учитывающего долю влияния каждого показателя [1]. Однако доля влияния косвенных показателей разнится под действием природно-климатических факторов [2]. Необходимо отметить, что современные сорта винограда, а также сорта классического сортимента в условиях существующей на сегодняшний день агротехники характеризуются более высокими значениями агробиологических и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увологических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показателей [1, 3, 4]. В связи с чем, существующие методы требуют экстраполяции к современным сортам [5, 6].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Как показано Магомедовым М.Г., для оценки винограда в зависимости от зоны выращивания, должна учитываться различная доля влияния таких факторов, как усилие на прокол, на раздавливание и на отрыв ягод от плодоножки [2]. 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исследования транспортабельности винограда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Малтабара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Л.М. и сотрудников показали, что коэффициент транспортабельности, для сорта Молдова составляет 30,4, что позволяет отнести данный сорт к группе с низкой транспортабельностью [7]. Приведённые сведения не находят подтверждения в современных условиях и не сочетается с классическими характеристиками данного сорта. 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транспортабельность винограда, в условиях современной агротехники, не только новых сортов, но и сортов классического сортимента не всегда может быть объективно оценена с помощью коэффициента транспортабельности.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объективной оценки транспортабельности столовых сортов винограда применён способ оценки </w:t>
      </w:r>
      <w:r w:rsidRPr="00841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доли транспортабельных свойств сорта </w:t>
      </w: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трём уровням транспортабельности [8]. 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Задачей наших исследований являлась оценка влияния внекорневых обработок препаратами «Альбит ТПС» и «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Мивал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-Агро» на транспортабельность столовых сортов винограда и определения доли влияния факторов на транспортабельность.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Объекты и методы исследований</w:t>
      </w:r>
      <w:r w:rsidRPr="00841797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Исследования проводились в течение 2015 года на производственных виноградниках Филиала «Морское» ПАО «Массандра» </w:t>
      </w:r>
      <w:r w:rsidRPr="00841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восточного района Южнобережной зоны Крыма </w:t>
      </w: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(культура –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неукрывная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Участки орошаемые, имеют южную экспозицию. Схема посадки 3,0 × 1,5 м. Форма куста –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трёхрукавный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веер. Система ведения шпалерная вертикальная. Объектами исследований являлись столовые сорта Молдова и Ред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Глоуб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– производственный фон, принятый в хозяйстве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оценки транспортабельности на приборе конструкции С.Ю.</w:t>
      </w:r>
      <w:r w:rsidRPr="00841797">
        <w:rPr>
          <w:rFonts w:ascii="Calibri" w:eastAsia="Times New Roman" w:hAnsi="Calibri" w:cs="Times New Roman"/>
        </w:rPr>
        <w:t> 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Дженеева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Н.К.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Колянды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определяли следующие показатели: усилие на прокалывание, раздавливание и отрыв ягод от плодоножки (для каждого показателя по 100 ягод: десять ягод с десяти гроздей, типичных для каждого сорта или варианта). </w:t>
      </w:r>
      <w:r w:rsidRPr="008417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Исследуемая партия винограда соответствует уровню транспортабельности с максимальным значением расчётного коэффициента. Анализ выборки образцов винограда позволяет оценить транспортабельность сорта в целом. Подобный подход позволяет оценивать влияние различных агротехнических приёмов на долю транспортабельных свойств сорта по его отношению к разным группам транспортабельности.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lastRenderedPageBreak/>
        <w:t>Обсуждение результатов</w:t>
      </w:r>
      <w:r w:rsidRPr="008417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. </w:t>
      </w: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препарата «Альбит ТПС» позволило существенно увеличить значения косвенных показателей транспортабельности винограда исследуемых сортов (табл. 1). </w:t>
      </w:r>
    </w:p>
    <w:p w:rsidR="00841797" w:rsidRPr="00841797" w:rsidRDefault="00841797" w:rsidP="0084179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841797" w:rsidRPr="00841797" w:rsidRDefault="00841797" w:rsidP="008417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Косвенные показатели транспортабельности исследуемых сортов под влиянием внекорневой подкормки препаратами «Альбит ТПС» и «</w:t>
      </w:r>
      <w:proofErr w:type="spellStart"/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Мивал</w:t>
      </w:r>
      <w:proofErr w:type="spellEnd"/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-Агро», 2015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"/>
        <w:gridCol w:w="1880"/>
        <w:gridCol w:w="1715"/>
        <w:gridCol w:w="1784"/>
        <w:gridCol w:w="2409"/>
      </w:tblGrid>
      <w:tr w:rsidR="00841797" w:rsidRPr="00841797" w:rsidTr="00C93F91">
        <w:trPr>
          <w:trHeight w:val="194"/>
          <w:jc w:val="center"/>
        </w:trPr>
        <w:tc>
          <w:tcPr>
            <w:tcW w:w="1293" w:type="dxa"/>
            <w:vMerge w:val="restart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5379" w:type="dxa"/>
            <w:gridSpan w:val="3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Усилие, г</w:t>
            </w:r>
          </w:p>
        </w:tc>
        <w:tc>
          <w:tcPr>
            <w:tcW w:w="2301" w:type="dxa"/>
            <w:vMerge w:val="restart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транспортабельности</w:t>
            </w:r>
          </w:p>
        </w:tc>
      </w:tr>
      <w:tr w:rsidR="00841797" w:rsidRPr="00841797" w:rsidTr="00C93F91">
        <w:trPr>
          <w:trHeight w:val="624"/>
          <w:jc w:val="center"/>
        </w:trPr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раздавливание ягод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отрыв</w:t>
            </w:r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от</w:t>
            </w:r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плодоножки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прокалывание ягод</w:t>
            </w: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97" w:rsidRPr="00841797" w:rsidTr="00C93F91">
        <w:trPr>
          <w:trHeight w:val="402"/>
          <w:jc w:val="center"/>
        </w:trPr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</w:t>
            </w:r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301" w:type="dxa"/>
            <w:tcBorders>
              <w:top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841797" w:rsidRPr="00841797" w:rsidTr="00C93F91">
        <w:trPr>
          <w:trHeight w:val="402"/>
          <w:jc w:val="center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</w:t>
            </w:r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(Альбит)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301" w:type="dxa"/>
            <w:tcBorders>
              <w:bottom w:val="single" w:sz="12" w:space="0" w:color="auto"/>
            </w:tcBorders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841797" w:rsidRPr="00841797" w:rsidTr="00C93F91">
        <w:trPr>
          <w:trHeight w:val="251"/>
          <w:jc w:val="center"/>
        </w:trPr>
        <w:tc>
          <w:tcPr>
            <w:tcW w:w="1293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НСР</w:t>
            </w: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05</w:t>
            </w:r>
          </w:p>
        </w:tc>
        <w:tc>
          <w:tcPr>
            <w:tcW w:w="1880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715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82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301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41797" w:rsidRPr="00841797" w:rsidTr="00C93F91">
        <w:trPr>
          <w:trHeight w:val="251"/>
          <w:jc w:val="center"/>
        </w:trPr>
        <w:tc>
          <w:tcPr>
            <w:tcW w:w="8973" w:type="dxa"/>
            <w:gridSpan w:val="5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97" w:rsidRPr="00841797" w:rsidTr="00C93F91">
        <w:trPr>
          <w:trHeight w:val="328"/>
          <w:jc w:val="center"/>
        </w:trPr>
        <w:tc>
          <w:tcPr>
            <w:tcW w:w="1293" w:type="dxa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 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Глоуб</w:t>
            </w:r>
            <w:proofErr w:type="spellEnd"/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(контроль)</w:t>
            </w:r>
          </w:p>
        </w:tc>
        <w:tc>
          <w:tcPr>
            <w:tcW w:w="1880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715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782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301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841797" w:rsidRPr="00841797" w:rsidTr="00C93F91">
        <w:trPr>
          <w:trHeight w:val="640"/>
          <w:jc w:val="center"/>
        </w:trPr>
        <w:tc>
          <w:tcPr>
            <w:tcW w:w="1293" w:type="dxa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 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Глоуб</w:t>
            </w:r>
            <w:proofErr w:type="spellEnd"/>
          </w:p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Мивал</w:t>
            </w:r>
            <w:proofErr w:type="spellEnd"/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-Агро)</w:t>
            </w:r>
          </w:p>
        </w:tc>
        <w:tc>
          <w:tcPr>
            <w:tcW w:w="1880" w:type="dxa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1715" w:type="dxa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82" w:type="dxa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301" w:type="dxa"/>
            <w:vAlign w:val="center"/>
          </w:tcPr>
          <w:p w:rsidR="00841797" w:rsidRPr="00841797" w:rsidRDefault="00841797" w:rsidP="008417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841797" w:rsidRPr="00841797" w:rsidTr="00C93F91">
        <w:trPr>
          <w:trHeight w:val="251"/>
          <w:jc w:val="center"/>
        </w:trPr>
        <w:tc>
          <w:tcPr>
            <w:tcW w:w="1293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НСР</w:t>
            </w:r>
            <w:r w:rsidRPr="0084179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05</w:t>
            </w:r>
          </w:p>
        </w:tc>
        <w:tc>
          <w:tcPr>
            <w:tcW w:w="1880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715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82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301" w:type="dxa"/>
            <w:vAlign w:val="center"/>
          </w:tcPr>
          <w:p w:rsidR="00841797" w:rsidRPr="00841797" w:rsidRDefault="00841797" w:rsidP="00841797">
            <w:pPr>
              <w:tabs>
                <w:tab w:val="left" w:pos="1594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41797" w:rsidRPr="00841797" w:rsidRDefault="00841797" w:rsidP="00841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свидетельствуют полученные данные (Рис. 1, 2), применение внекорневой подкормки способствовало повышению транспортабельных свойств сортов Молдова и Ред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Глоуб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41797" w:rsidRPr="00841797" w:rsidRDefault="00841797" w:rsidP="00841797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установлено, что применение внекорневой обработки препаратом Альбит на столовом сорте Молдова способствует существенному увеличению коэффициента транспортабельности и, соответственно, улучшению транспортабельных свойств. </w:t>
      </w:r>
    </w:p>
    <w:p w:rsidR="00841797" w:rsidRPr="00841797" w:rsidRDefault="00841797" w:rsidP="008417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4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0670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97" w:rsidRPr="00841797" w:rsidRDefault="00841797" w:rsidP="00841797">
      <w:pPr>
        <w:tabs>
          <w:tab w:val="left" w:pos="2078"/>
        </w:tabs>
        <w:spacing w:before="24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1. Влияние обработки препаратом Альбит на транспортабельные свойства сорта винограда Молдова, 2015 г. (бригада №2)</w:t>
      </w:r>
    </w:p>
    <w:p w:rsidR="00841797" w:rsidRPr="00841797" w:rsidRDefault="00841797" w:rsidP="00841797">
      <w:pPr>
        <w:tabs>
          <w:tab w:val="left" w:pos="20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здесь и далее </w:t>
      </w: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</w:t>
      </w:r>
      <w:r w:rsidRPr="0084179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высокая транспортабельность сорта,</w:t>
      </w:r>
    </w:p>
    <w:p w:rsidR="00841797" w:rsidRPr="00841797" w:rsidRDefault="00841797" w:rsidP="00841797">
      <w:pPr>
        <w:tabs>
          <w:tab w:val="left" w:pos="2078"/>
        </w:tabs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средняя транспортабельность сорта, </w:t>
      </w: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низкая транспортабельность сорта.</w:t>
      </w:r>
    </w:p>
    <w:p w:rsidR="00841797" w:rsidRPr="00841797" w:rsidRDefault="00841797" w:rsidP="008417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оценке влияния препарата Альбит на транспортабельные свойства сорта Молдова в условиях орошения и на неполивных виноградниках максимальное повышение транспортабельности отмечено в условиях отсутствия орошения. Данный факт позволяет предположить, что применение Альбита повышает стрессоустойчивость столовых сортов винограда. </w:t>
      </w:r>
    </w:p>
    <w:p w:rsidR="00841797" w:rsidRPr="00841797" w:rsidRDefault="00841797" w:rsidP="0084179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Данные, представленные на рисунке 2, наглядно иллюстрируют повышение транспортабельных свойств сорта Ред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Глоуб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влиянием препарата «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Мивал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–Агро». Так применение внекорневой подкормки препаратом «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Мивал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–Агро» позволяет увеличить отношение сорта Ред 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Глоуб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94, 2 % к группе сортов с высокой транспортабельностью.</w:t>
      </w:r>
    </w:p>
    <w:p w:rsidR="00841797" w:rsidRPr="00841797" w:rsidRDefault="00841797" w:rsidP="008417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9527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97" w:rsidRPr="00841797" w:rsidRDefault="00841797" w:rsidP="00841797">
      <w:pPr>
        <w:tabs>
          <w:tab w:val="left" w:pos="20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2. Влияние обработки препаратом «</w:t>
      </w:r>
      <w:proofErr w:type="spellStart"/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Мивал</w:t>
      </w:r>
      <w:proofErr w:type="spellEnd"/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-Агро» на транспортабельные свойства сорта винограда Ред </w:t>
      </w:r>
      <w:proofErr w:type="spellStart"/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Глоуб</w:t>
      </w:r>
      <w:proofErr w:type="spellEnd"/>
      <w:r w:rsidRPr="0084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2015 г</w:t>
      </w:r>
    </w:p>
    <w:p w:rsidR="00841797" w:rsidRPr="00841797" w:rsidRDefault="00841797" w:rsidP="0084179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4179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Выводы</w:t>
      </w:r>
      <w:r w:rsidRPr="008417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  <w:r w:rsidRPr="00841797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 </w:t>
      </w: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Дана оценка </w:t>
      </w:r>
      <w:r w:rsidRPr="0084179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влияния внекорневой подкормки на долю транспортабельных свойств столовых сортов винограда по отношению к разным группам транспортабельности. </w:t>
      </w:r>
      <w:r w:rsidRPr="00841797">
        <w:rPr>
          <w:rFonts w:ascii="Times New Roman" w:eastAsia="Times New Roman" w:hAnsi="Times New Roman" w:cs="Calibri"/>
          <w:sz w:val="30"/>
          <w:szCs w:val="30"/>
          <w:lang w:eastAsia="ru-RU"/>
        </w:rPr>
        <w:t>Установлено, что применение внекорневой обработки препаратом Альбит на столовом сорте Молдова способствует существенному увеличению коэффициентов транспортабельности (на 11,3–17,7 % выше контроля) и, соответственно, улучшению транспортабельных свойств данных сортов.</w:t>
      </w:r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Применение препарата «</w:t>
      </w:r>
      <w:proofErr w:type="spellStart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Мивал</w:t>
      </w:r>
      <w:proofErr w:type="spellEnd"/>
      <w:r w:rsidRPr="00841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-Агро» позволило существенно увеличить значения косвенных показателей транспортабельности. </w:t>
      </w:r>
    </w:p>
    <w:p w:rsidR="00841797" w:rsidRPr="00841797" w:rsidRDefault="00841797" w:rsidP="0084179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Технологические требования, предъявляемые к столовым сортам винограда / В.И. Иванченко, В.В. Лиховской, Н.П. Олейников, А.Н. Зотов // «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Магарач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Виноградарство и виноделие: Сб. науч. трудов. – 2013. – С. 14–17.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Магомедов, М.Г. Транспортабельность аборигенных столовых сортов винограда в Дагестане / М.Г. Магомедов, О.М. Рамазанов, Ш.Р. Рамазанов // Научные труды ГНУ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СКЗНИИСиВ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2013. – Том 1. – С. 253–256. 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Иванченко, В.И. Анализ и совершенствование промышленного конвейера столовых сортов винограда в Украине / В.И. Иванченко, Н.П. Олейников, В.В. Лиховской // «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Магарач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Виноградарство и виноделие: Сб. науч. Трудов, 2012. – С.18–22.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Трошин, Л.П. Новации виноградарства России. Рекомендации по использованию сортов винограда на юге России / Л.П. Трошин // Научный журнал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Краснодар, 2012, – № 54 (10). – С. 18–22.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Бойко, В.А.</w:t>
      </w: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оценки перспективности столовых сортов винограда / В.А. Бойко // «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Магарач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Виноградарство и виноделие. – 2015. – №1. – С.7–9.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Бейбулатов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М.Р. Перспективность новых столовых сортов винограда на основании их комплексной оценки сортам / М.Р.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Бейбулатов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Бойко //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Сб.науч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тр. ГБУ РК «</w:t>
      </w:r>
      <w:proofErr w:type="spellStart"/>
      <w:proofErr w:type="gram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ННИИВиВ«</w:t>
      </w:r>
      <w:proofErr w:type="gram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Магарач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17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Т. XLV. – Ялта, 2015. – С. 12-14.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Урожай и качество винограда новых столовых и технических сортов / Л.М. 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Малтабар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Гугучкин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Е.Н. Котова, И.М. Панкин, М.В. Журавлев // Совершенствование сортимента, производство посадочного материала и винограда: Сборник научных трудов КГАУ. – Выпуск 394 (422). – Краснодар, 2002. – С. 76–90.</w:t>
      </w:r>
      <w:r w:rsidRPr="0084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1797" w:rsidRPr="00841797" w:rsidRDefault="00841797" w:rsidP="0084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Бейбулатов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 Оценка транспортабельности столовых сортов винограда / М.Р. 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Бейбулатов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Бойко // Плодоводство и виноградарство Юга России. – 2014. – №28(04). – Режим доступа: </w:t>
      </w:r>
      <w:r w:rsidRPr="00841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: // journal.kubansad.ru/</w:t>
      </w:r>
      <w:proofErr w:type="spellStart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4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/14/04/12.pdf. </w:t>
      </w:r>
    </w:p>
    <w:p w:rsidR="00DB6B6E" w:rsidRPr="00841797" w:rsidRDefault="00DB6B6E">
      <w:bookmarkStart w:id="0" w:name="_GoBack"/>
      <w:bookmarkEnd w:id="0"/>
    </w:p>
    <w:sectPr w:rsidR="00DB6B6E" w:rsidRPr="0084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841797"/>
    <w:rsid w:val="00D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2016-12-21T12:56:00Z</dcterms:created>
  <dcterms:modified xsi:type="dcterms:W3CDTF">2016-12-21T12:57:00Z</dcterms:modified>
</cp:coreProperties>
</file>