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47" w:rsidRPr="00883F47" w:rsidRDefault="00883F47" w:rsidP="00883F47">
      <w:pPr>
        <w:spacing w:before="480" w:after="240" w:line="240" w:lineRule="auto"/>
        <w:rPr>
          <w:rFonts w:ascii="Times New Roman" w:eastAsia="DejaVu Sans" w:hAnsi="Times New Roman" w:cs="Times New Roman"/>
          <w:color w:val="000000"/>
          <w:spacing w:val="-1"/>
          <w:sz w:val="24"/>
          <w:szCs w:val="24"/>
        </w:rPr>
      </w:pPr>
      <w:r w:rsidRPr="00883F47">
        <w:rPr>
          <w:rFonts w:ascii="Times New Roman" w:eastAsia="Calibri" w:hAnsi="Times New Roman" w:cs="Times New Roman"/>
          <w:caps/>
          <w:sz w:val="24"/>
          <w:szCs w:val="24"/>
        </w:rPr>
        <w:t xml:space="preserve">УДК </w:t>
      </w:r>
      <w:r w:rsidRPr="00883F47">
        <w:rPr>
          <w:rFonts w:ascii="Times New Roman" w:eastAsia="DejaVu Sans" w:hAnsi="Times New Roman" w:cs="Times New Roman"/>
          <w:color w:val="000000"/>
          <w:spacing w:val="-1"/>
          <w:sz w:val="24"/>
          <w:szCs w:val="24"/>
        </w:rPr>
        <w:t>663.2</w:t>
      </w:r>
    </w:p>
    <w:p w:rsidR="00883F47" w:rsidRPr="00883F47" w:rsidRDefault="00883F47" w:rsidP="00883F47">
      <w:pPr>
        <w:spacing w:after="0" w:line="24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3F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ВЛИЯНИЕ СОРТА ВИНОГРАДА И ПРИРОДЫ СПИРТА </w:t>
      </w:r>
    </w:p>
    <w:p w:rsidR="00883F47" w:rsidRPr="00883F47" w:rsidRDefault="00883F47" w:rsidP="00883F47">
      <w:pPr>
        <w:spacing w:after="0" w:line="24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883F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</w:t>
      </w:r>
      <w:r w:rsidRPr="00883F4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83F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КАЧЕСТВО</w:t>
      </w:r>
      <w:r w:rsidRPr="00883F4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83F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КРАСНЫХ</w:t>
      </w:r>
      <w:r w:rsidRPr="00883F4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83F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ЛИКЁРНЫХ</w:t>
      </w:r>
      <w:r w:rsidRPr="00883F4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83F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ВИН</w:t>
      </w:r>
    </w:p>
    <w:p w:rsidR="00883F47" w:rsidRPr="00883F47" w:rsidRDefault="00883F47" w:rsidP="00883F47">
      <w:pPr>
        <w:spacing w:after="0" w:line="24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883F47" w:rsidRPr="00883F47" w:rsidRDefault="00883F47" w:rsidP="00883F47">
      <w:pPr>
        <w:widowControl w:val="0"/>
        <w:suppressAutoHyphens/>
        <w:autoSpaceDE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83F47">
        <w:rPr>
          <w:rFonts w:ascii="Times New Roman" w:eastAsia="Calibri" w:hAnsi="Times New Roman" w:cs="Times New Roman"/>
          <w:b/>
          <w:sz w:val="28"/>
          <w:szCs w:val="28"/>
          <w:lang w:val="en"/>
        </w:rPr>
        <w:t>EFFECT OF GRAPE</w:t>
      </w:r>
      <w:r w:rsidRPr="00883F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883F47">
        <w:rPr>
          <w:rFonts w:ascii="Times New Roman" w:eastAsia="Calibri" w:hAnsi="Times New Roman" w:cs="Times New Roman"/>
          <w:b/>
          <w:sz w:val="28"/>
          <w:szCs w:val="28"/>
          <w:lang w:val="en"/>
        </w:rPr>
        <w:t xml:space="preserve">VARIETY </w:t>
      </w:r>
      <w:r w:rsidRPr="00883F4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AND </w:t>
      </w:r>
      <w:r w:rsidRPr="00883F47">
        <w:rPr>
          <w:rFonts w:ascii="Times New Roman" w:eastAsia="Calibri" w:hAnsi="Times New Roman" w:cs="Times New Roman"/>
          <w:b/>
          <w:sz w:val="28"/>
          <w:szCs w:val="28"/>
          <w:lang w:val="en"/>
        </w:rPr>
        <w:t>NATURE OF ALCOHOL</w:t>
      </w:r>
    </w:p>
    <w:p w:rsidR="00883F47" w:rsidRPr="00883F47" w:rsidRDefault="00883F47" w:rsidP="00883F47">
      <w:pPr>
        <w:widowControl w:val="0"/>
        <w:suppressAutoHyphens/>
        <w:autoSpaceDE w:val="0"/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83F47">
        <w:rPr>
          <w:rFonts w:ascii="Times New Roman" w:eastAsia="Calibri" w:hAnsi="Times New Roman" w:cs="Times New Roman"/>
          <w:b/>
          <w:sz w:val="28"/>
          <w:szCs w:val="28"/>
          <w:lang w:val="en"/>
        </w:rPr>
        <w:t>ON THE QUALITY OF RED LIQUEUR WINE</w:t>
      </w:r>
    </w:p>
    <w:p w:rsidR="00883F47" w:rsidRPr="00883F47" w:rsidRDefault="00883F47" w:rsidP="00883F47">
      <w:pPr>
        <w:widowControl w:val="0"/>
        <w:suppressAutoHyphens/>
        <w:autoSpaceDE w:val="0"/>
        <w:spacing w:after="0" w:line="24" w:lineRule="atLeast"/>
        <w:ind w:left="4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883F47" w:rsidRPr="00883F47" w:rsidTr="00C93F91">
        <w:tc>
          <w:tcPr>
            <w:tcW w:w="4535" w:type="dxa"/>
            <w:shd w:val="clear" w:color="auto" w:fill="auto"/>
          </w:tcPr>
          <w:p w:rsidR="00883F47" w:rsidRPr="00883F47" w:rsidRDefault="00883F47" w:rsidP="00883F47">
            <w:pPr>
              <w:spacing w:after="0" w:line="24" w:lineRule="atLeast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83F47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А.В. Д</w:t>
            </w:r>
            <w:r w:rsidRPr="00883F47">
              <w:rPr>
                <w:rFonts w:ascii="Times New Roman" w:eastAsia="Batang" w:hAnsi="Times New Roman" w:cs="Times New Roman"/>
                <w:i/>
                <w:spacing w:val="-1"/>
                <w:sz w:val="24"/>
                <w:szCs w:val="24"/>
              </w:rPr>
              <w:t>е</w:t>
            </w:r>
            <w:r w:rsidRPr="00883F47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р</w:t>
            </w:r>
            <w:r w:rsidRPr="00883F47">
              <w:rPr>
                <w:rFonts w:ascii="Times New Roman" w:eastAsia="Batang" w:hAnsi="Times New Roman" w:cs="Times New Roman"/>
                <w:i/>
                <w:spacing w:val="5"/>
                <w:sz w:val="24"/>
                <w:szCs w:val="24"/>
              </w:rPr>
              <w:t>г</w:t>
            </w:r>
            <w:r w:rsidRPr="00883F47">
              <w:rPr>
                <w:rFonts w:ascii="Times New Roman" w:eastAsia="Batang" w:hAnsi="Times New Roman" w:cs="Times New Roman"/>
                <w:i/>
                <w:spacing w:val="-7"/>
                <w:sz w:val="24"/>
                <w:szCs w:val="24"/>
              </w:rPr>
              <w:t>у</w:t>
            </w:r>
            <w:r w:rsidRPr="00883F47">
              <w:rPr>
                <w:rFonts w:ascii="Times New Roman" w:eastAsia="Batang" w:hAnsi="Times New Roman" w:cs="Times New Roman"/>
                <w:i/>
                <w:spacing w:val="1"/>
                <w:sz w:val="24"/>
                <w:szCs w:val="24"/>
              </w:rPr>
              <w:t>н</w:t>
            </w:r>
            <w:r w:rsidRPr="00883F47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ов</w:t>
            </w:r>
          </w:p>
          <w:p w:rsidR="00883F47" w:rsidRPr="00883F47" w:rsidRDefault="00883F47" w:rsidP="00883F47">
            <w:pPr>
              <w:spacing w:after="0" w:line="2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883F47" w:rsidRPr="00883F47" w:rsidRDefault="00883F47" w:rsidP="00883F47">
            <w:pPr>
              <w:widowControl w:val="0"/>
              <w:suppressAutoHyphens/>
              <w:autoSpaceDE w:val="0"/>
              <w:spacing w:after="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F4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A.B.</w:t>
            </w: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3F4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83F47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val="en-US"/>
              </w:rPr>
              <w:t>e</w:t>
            </w:r>
            <w:r w:rsidRPr="00883F47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val="en-US"/>
              </w:rPr>
              <w:t>r</w:t>
            </w:r>
            <w:r w:rsidRPr="00883F47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>g</w:t>
            </w:r>
            <w:r w:rsidRPr="00883F4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unov</w:t>
            </w:r>
          </w:p>
          <w:p w:rsidR="00883F47" w:rsidRPr="00883F47" w:rsidRDefault="00883F47" w:rsidP="00883F4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83F47" w:rsidRPr="00883F47" w:rsidTr="00C93F91">
        <w:tc>
          <w:tcPr>
            <w:tcW w:w="4535" w:type="dxa"/>
            <w:shd w:val="clear" w:color="auto" w:fill="auto"/>
          </w:tcPr>
          <w:p w:rsidR="00883F47" w:rsidRPr="00883F47" w:rsidRDefault="00883F47" w:rsidP="00883F47">
            <w:pPr>
              <w:widowControl w:val="0"/>
              <w:suppressAutoHyphens/>
              <w:autoSpaceDE w:val="0"/>
              <w:spacing w:after="0" w:line="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47">
              <w:rPr>
                <w:rFonts w:ascii="Times New Roman" w:eastAsia="Calibri" w:hAnsi="Times New Roman" w:cs="Times New Roman"/>
                <w:sz w:val="24"/>
                <w:szCs w:val="24"/>
              </w:rPr>
              <w:t>ФГБНУ «</w:t>
            </w: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Анапская зональная опытная станция виноградарства и виноделия Северо-Кавказского зонального научно-исследовательского института садоводства и виноградарства» </w:t>
            </w:r>
          </w:p>
          <w:p w:rsidR="00883F47" w:rsidRPr="00883F47" w:rsidRDefault="00883F47" w:rsidP="00883F47">
            <w:pPr>
              <w:widowControl w:val="0"/>
              <w:suppressAutoHyphens/>
              <w:autoSpaceDE w:val="0"/>
              <w:spacing w:after="0" w:line="24" w:lineRule="atLeast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883F4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azosviv</w:t>
              </w:r>
              <w:r w:rsidRPr="00883F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883F4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83F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83F4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3F47" w:rsidRPr="00883F47" w:rsidRDefault="00883F47" w:rsidP="00883F47">
            <w:pPr>
              <w:spacing w:after="0" w:line="24" w:lineRule="atLeast"/>
              <w:contextualSpacing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883F47" w:rsidRPr="00883F47" w:rsidRDefault="00883F47" w:rsidP="00883F47">
            <w:pPr>
              <w:widowControl w:val="0"/>
              <w:suppressAutoHyphens/>
              <w:autoSpaceDE w:val="0"/>
              <w:spacing w:after="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Anapa’s Zonal Experimental Station of Viticulture and Wine-making area of the North Caucasus Research Institute of horticulture and viticulture», Anapa, Russia, E-mail: </w:t>
            </w:r>
            <w:hyperlink r:id="rId8" w:history="1">
              <w:r w:rsidRPr="00883F4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azosviv@mail.ru</w:t>
              </w:r>
            </w:hyperlink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83F47" w:rsidRPr="00883F47" w:rsidRDefault="00883F47" w:rsidP="00883F47">
            <w:pPr>
              <w:widowControl w:val="0"/>
              <w:suppressAutoHyphens/>
              <w:autoSpaceDE w:val="0"/>
              <w:spacing w:after="0" w:line="24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3F47" w:rsidRPr="00883F47" w:rsidTr="00C93F91">
        <w:tc>
          <w:tcPr>
            <w:tcW w:w="4535" w:type="dxa"/>
            <w:shd w:val="clear" w:color="auto" w:fill="auto"/>
          </w:tcPr>
          <w:p w:rsidR="00883F47" w:rsidRPr="00883F47" w:rsidRDefault="00883F47" w:rsidP="00883F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Аннотация.</w:t>
            </w: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исследований выявлено, что применение бидистиллята винного приводит к излишне высокому накоплению нежелательных групп соединений, таких как метанол и сивушные масла и тем самым снижает качество ликёрного вина. По органолептическим параметрам лучшими были красные вина из сортов селекции Анапской ЗОСВиВ – Дионис и Красностоп АЗОС, а также – Каберне Совиньон. </w:t>
            </w:r>
          </w:p>
          <w:p w:rsidR="00883F47" w:rsidRPr="00883F47" w:rsidRDefault="00883F47" w:rsidP="00883F47">
            <w:pPr>
              <w:spacing w:after="0" w:line="24" w:lineRule="atLeast"/>
              <w:contextualSpacing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883F47" w:rsidRPr="00883F47" w:rsidRDefault="00883F47" w:rsidP="00883F47">
            <w:pPr>
              <w:widowControl w:val="0"/>
              <w:suppressAutoHyphens/>
              <w:autoSpaceDE w:val="0"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Summary</w:t>
            </w:r>
            <w:r w:rsidRPr="00883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.</w:t>
            </w: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The studies revealed that the application of double-distilled water wine leads to excessively high accumulation of undesirable groups of compounds such as methanol and fusel oil, thereby reducing the quality liqueur wines.</w:t>
            </w: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Organoleptic parameters were the best selection of wines from Anapa ZOSViV - Dionys and Krasnostop AZOS, as well as - Cabernet Sauvignon.</w:t>
            </w:r>
          </w:p>
          <w:p w:rsidR="00883F47" w:rsidRPr="00883F47" w:rsidRDefault="00883F47" w:rsidP="00883F47">
            <w:pPr>
              <w:widowControl w:val="0"/>
              <w:suppressAutoHyphens/>
              <w:autoSpaceDE w:val="0"/>
              <w:spacing w:after="0" w:line="24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3F47" w:rsidRPr="00883F47" w:rsidTr="00C93F91">
        <w:tc>
          <w:tcPr>
            <w:tcW w:w="4535" w:type="dxa"/>
            <w:shd w:val="clear" w:color="auto" w:fill="auto"/>
          </w:tcPr>
          <w:p w:rsidR="00883F47" w:rsidRPr="00883F47" w:rsidRDefault="00883F47" w:rsidP="00883F47">
            <w:pPr>
              <w:spacing w:after="0" w:line="24" w:lineRule="atLeast"/>
              <w:contextualSpacing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883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слова:</w:t>
            </w: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 вина, сорта винограда, спиртующий агент, ароматические вещества, витаминоподобные вещества, летучие компоненты</w:t>
            </w:r>
          </w:p>
        </w:tc>
        <w:tc>
          <w:tcPr>
            <w:tcW w:w="4537" w:type="dxa"/>
            <w:shd w:val="clear" w:color="auto" w:fill="auto"/>
          </w:tcPr>
          <w:p w:rsidR="00883F47" w:rsidRPr="00883F47" w:rsidRDefault="00883F47" w:rsidP="00883F4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3F47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Keywords:</w:t>
            </w:r>
            <w:r w:rsidRPr="00883F47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 xml:space="preserve"> quality wine, grapes, alcohol agent, flavoring, vitamin-like substances, volatile components</w:t>
            </w:r>
          </w:p>
          <w:p w:rsidR="00883F47" w:rsidRPr="00883F47" w:rsidRDefault="00883F47" w:rsidP="00883F47">
            <w:pPr>
              <w:widowControl w:val="0"/>
              <w:suppressAutoHyphens/>
              <w:autoSpaceDE w:val="0"/>
              <w:spacing w:after="0" w:line="24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883F47" w:rsidRPr="00883F47" w:rsidRDefault="00883F47" w:rsidP="00883F4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83F47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Введение.</w:t>
      </w:r>
      <w:r w:rsidRPr="00883F47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 xml:space="preserve"> 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Технология производства креплёных вин во всех странах с развитым виноградарством и виноделием имеет свою специфику. Индивидуальные отличительные черты данных вин формируются за счет ряда технологических факторов, обусловленных историческим опытом и агроклиматическими особенностями. В Российской Федерации, имеются давние традиции производства широкого спектра наименований креплёных вин по оригинальным, не имеющим мировых аналогов, технологиям [1]. </w:t>
      </w:r>
    </w:p>
    <w:p w:rsidR="00883F47" w:rsidRPr="00883F47" w:rsidRDefault="00883F47" w:rsidP="00883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Система производства высококачественных ликёрных вин основывается на тесной связи географического местонахождения 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виноградника, сортового состава, системы ведения виноградного куста,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а также от биотехнологических приемов виноделия [2].</w:t>
      </w:r>
      <w:r w:rsidRPr="00883F4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83F47" w:rsidRPr="00883F47" w:rsidRDefault="00883F47" w:rsidP="00883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3F47">
        <w:rPr>
          <w:rFonts w:ascii="Times New Roman" w:eastAsia="Calibri" w:hAnsi="Times New Roman" w:cs="Times New Roman"/>
          <w:color w:val="000000"/>
          <w:sz w:val="30"/>
          <w:szCs w:val="30"/>
        </w:rPr>
        <w:t>Проблема получения биологически полноценной, гигиеничной и безопасной для человека винодельческой продукции постоянного состава и стабильно высокого качества наиболее актуальна в обозримом периоде. Стратегическое решение должно базироваться на научных разработках и иметь комплексную основу агроэкологического и технологического характера [3, 4].</w:t>
      </w:r>
    </w:p>
    <w:p w:rsidR="00883F47" w:rsidRPr="00883F47" w:rsidRDefault="00883F47" w:rsidP="00883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3F47">
        <w:rPr>
          <w:rFonts w:ascii="Times New Roman" w:eastAsia="Calibri" w:hAnsi="Times New Roman" w:cs="Times New Roman"/>
          <w:b/>
          <w:sz w:val="30"/>
          <w:szCs w:val="30"/>
        </w:rPr>
        <w:t xml:space="preserve">Объекты и </w:t>
      </w:r>
      <w:r w:rsidRPr="00883F4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методы исследований.</w:t>
      </w:r>
      <w:r w:rsidRPr="00883F47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Объектом исследований</w:t>
      </w:r>
      <w:r w:rsidRPr="00883F47">
        <w:rPr>
          <w:rFonts w:ascii="Times New Roman" w:eastAsia="Calibri" w:hAnsi="Times New Roman" w:cs="Times New Roman"/>
          <w:sz w:val="30"/>
          <w:szCs w:val="30"/>
        </w:rPr>
        <w:t xml:space="preserve"> являлись: виноград сортов:</w:t>
      </w:r>
      <w:r w:rsidRPr="00883F47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Pr="00883F47">
        <w:rPr>
          <w:rFonts w:ascii="Times New Roman" w:eastAsia="Calibri" w:hAnsi="Times New Roman" w:cs="Times New Roman"/>
          <w:sz w:val="30"/>
          <w:szCs w:val="30"/>
        </w:rPr>
        <w:t xml:space="preserve">Каберне Совиньон, Дионис, Достойный, Красностоп АЗОС; спиртующие агенты: спирт – ректификат зернового происхождения крепостью 96,6% 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об </w:t>
      </w:r>
      <w:r w:rsidRPr="00883F47">
        <w:rPr>
          <w:rFonts w:ascii="Times New Roman" w:eastAsia="Calibri" w:hAnsi="Times New Roman" w:cs="Times New Roman"/>
          <w:sz w:val="30"/>
          <w:szCs w:val="30"/>
        </w:rPr>
        <w:t xml:space="preserve">(РК), винный спирт – ректификат крепостью 91,0% 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</w:rPr>
        <w:t>об</w:t>
      </w:r>
      <w:r w:rsidRPr="00883F47">
        <w:rPr>
          <w:rFonts w:ascii="Times New Roman" w:eastAsia="Calibri" w:hAnsi="Times New Roman" w:cs="Times New Roman"/>
          <w:sz w:val="30"/>
          <w:szCs w:val="30"/>
        </w:rPr>
        <w:t xml:space="preserve"> (ВС) и винный бидистиллят крепостью 75,0% 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</w:rPr>
        <w:t>об</w:t>
      </w:r>
      <w:r w:rsidRPr="00883F47">
        <w:rPr>
          <w:rFonts w:ascii="Times New Roman" w:eastAsia="Calibri" w:hAnsi="Times New Roman" w:cs="Times New Roman"/>
          <w:sz w:val="30"/>
          <w:szCs w:val="30"/>
        </w:rPr>
        <w:t xml:space="preserve"> (БД); креплёные виноматериалы из винограда различных сортов.</w:t>
      </w:r>
    </w:p>
    <w:p w:rsidR="00883F47" w:rsidRPr="00883F47" w:rsidRDefault="00883F47" w:rsidP="00883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Виноматериалы производились методом микровиноделия в винцехе </w:t>
      </w:r>
      <w:r w:rsidRPr="00883F47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>ФГБНУ Анапская ЗОСВиВ. Массовые концентрации основных компонентов виноматериалов определялись согласно действующим ГОСТ и ГОСТ Р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, а также по методикам, разработанным в научном центре виноделия СКЗНИИСиВ Россельхозакадемии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83F47" w:rsidRPr="00883F47" w:rsidRDefault="00883F47" w:rsidP="00883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Обсуждение результатов.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Мономеры флавоноидов антоциановой группы предают красным виноматериалам характерную рубиновую окраску 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[5]. 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В исследуемых образцах молодых креплёных виноматериалов самое большое количество фенольных веществ было обнаружено в сортах Красностоп АЗОС – 3745,4 – 4168,7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Достойный 3479,7 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 (рис. 1).</w:t>
      </w:r>
    </w:p>
    <w:p w:rsidR="00883F47" w:rsidRPr="00883F47" w:rsidRDefault="00883F47" w:rsidP="00883F47">
      <w:pPr>
        <w:spacing w:after="0" w:line="24" w:lineRule="atLeast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883F47" w:rsidRPr="00883F47" w:rsidRDefault="00883F47" w:rsidP="00883F47">
      <w:pPr>
        <w:spacing w:after="0" w:line="24" w:lineRule="atLeast"/>
        <w:jc w:val="center"/>
        <w:rPr>
          <w:rFonts w:ascii="Times New Roman" w:eastAsia="Calibri" w:hAnsi="Times New Roman" w:cs="Times New Roman"/>
          <w:sz w:val="30"/>
          <w:szCs w:val="24"/>
          <w:lang w:eastAsia="ru-RU"/>
        </w:rPr>
      </w:pPr>
      <w:r w:rsidRPr="00883F47">
        <w:rPr>
          <w:rFonts w:ascii="Times New Roman" w:eastAsia="Calibri" w:hAnsi="Times New Roman" w:cs="Times New Roman"/>
          <w:noProof/>
          <w:sz w:val="30"/>
          <w:szCs w:val="28"/>
          <w:lang w:eastAsia="ru-RU"/>
        </w:rPr>
        <w:drawing>
          <wp:inline distT="0" distB="0" distL="0" distR="0">
            <wp:extent cx="5619750" cy="2609850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3F47" w:rsidRPr="00883F47" w:rsidRDefault="00883F47" w:rsidP="00883F47">
      <w:pPr>
        <w:spacing w:after="0" w:line="24" w:lineRule="atLeast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3F47" w:rsidRPr="00883F47" w:rsidRDefault="00883F47" w:rsidP="00883F47">
      <w:pPr>
        <w:spacing w:after="0" w:line="24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3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Рис. 1. Массовая концентрация (мг/дм</w:t>
      </w:r>
      <w:r w:rsidRPr="00883F4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 фенольных и красящих веществ</w:t>
      </w:r>
    </w:p>
    <w:p w:rsidR="00883F47" w:rsidRPr="00883F47" w:rsidRDefault="00883F47" w:rsidP="00883F4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Витаминный состав исследуемых виноматериалов представлен аскорбиновой, хлорогеновой, никотиновой, оротовой, кофейной, галловой, протокатеховой кислотами и ресвератролом 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(табл.).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Ресвератрол препятствует развитию раковых и ряда других заболеваний у человека. Это важное для человека вещество в винах из исследуемых сортов винограда было обнаружено в значительных количествах. По массовой концентрации ресвератрола выделились вина из сорта Каберне Совиньон с применением в качестве спиртующего агента зерновых и виноградных спиртов высокой крепости 96,6 – 91,0%. Здесь содержание ресвератрола достигало 7,88 – 8,18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. Применение бидистиллята винного с концентрацией спирта 75% негативно повлияло на содержание практически всех витаминоподобных веществ в опыте, в частности ресвератрола содержалось в вине «Каберне Совиньон» 0,1608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. Низким содержанием ресвератрола отличались и виноматериалы из сорта Дионис (0,5647 – 0,8164 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).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В живом организме аскорбиновая кислота обезвреживает свободные радикалы. Главная функция витамина С в вине - это роль протектора в процессах окисления вина. Наибольшим содержанием аскорбиновой кислоты среди исследуемых виноматериалов отличились варианты, приготовленные из сортов Каберне Совиньон с применением в качестве спиртующего агента зерновых и виноградных спиртов высокой крепости 96,6 – 91,0% (15,58 и 22,9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) и Достойный (9,069 и 17,36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).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Оротовая кислота – витамин В</w:t>
      </w:r>
      <w:r w:rsidRPr="00883F47">
        <w:rPr>
          <w:rFonts w:ascii="Times New Roman" w:eastAsia="Calibri" w:hAnsi="Times New Roman" w:cs="Times New Roman"/>
          <w:sz w:val="30"/>
          <w:szCs w:val="30"/>
          <w:vertAlign w:val="subscript"/>
          <w:lang w:eastAsia="ru-RU"/>
        </w:rPr>
        <w:t>13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оказывает общее стимулирующее действие на обменные процессы. Максимальное её количество выявлено в виноматериале из сорта Достойный с применением спирта – ректификата винного – 28,34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. Самое незначительное содержание этого витамина обнаружено в варианте с использованием в качестве спиртующего агента бидистиллята винного – 0,517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883F47" w:rsidRPr="00883F47" w:rsidRDefault="00883F47" w:rsidP="00883F47">
      <w:pPr>
        <w:spacing w:before="240"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F47">
        <w:rPr>
          <w:rFonts w:ascii="Times New Roman" w:eastAsia="Calibri" w:hAnsi="Times New Roman" w:cs="Times New Roman"/>
          <w:color w:val="000000"/>
          <w:sz w:val="24"/>
          <w:szCs w:val="24"/>
        </w:rPr>
        <w:t>Таблица</w:t>
      </w:r>
    </w:p>
    <w:p w:rsidR="00883F47" w:rsidRPr="00883F47" w:rsidRDefault="00883F47" w:rsidP="00883F4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F47">
        <w:rPr>
          <w:rFonts w:ascii="Times New Roman" w:eastAsia="Calibri" w:hAnsi="Times New Roman" w:cs="Times New Roman"/>
          <w:b/>
          <w:sz w:val="24"/>
          <w:szCs w:val="24"/>
        </w:rPr>
        <w:t>Массовая концентрация биологически активных веществ, мг/дм</w:t>
      </w:r>
      <w:r w:rsidRPr="00883F4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809"/>
        <w:gridCol w:w="826"/>
        <w:gridCol w:w="941"/>
        <w:gridCol w:w="943"/>
        <w:gridCol w:w="941"/>
        <w:gridCol w:w="930"/>
        <w:gridCol w:w="950"/>
        <w:gridCol w:w="1051"/>
      </w:tblGrid>
      <w:tr w:rsidR="00883F47" w:rsidRPr="00883F47" w:rsidTr="00C93F91">
        <w:trPr>
          <w:cantSplit/>
          <w:trHeight w:val="1708"/>
        </w:trPr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виноматериала</w:t>
            </w: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Ресвератрол</w:t>
            </w:r>
          </w:p>
        </w:tc>
        <w:tc>
          <w:tcPr>
            <w:tcW w:w="452" w:type="pct"/>
            <w:shd w:val="clear" w:color="auto" w:fill="auto"/>
            <w:textDirection w:val="btLr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15" w:type="pct"/>
            <w:shd w:val="clear" w:color="auto" w:fill="auto"/>
            <w:textDirection w:val="btLr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Хлорогеновая кислота</w:t>
            </w:r>
          </w:p>
        </w:tc>
        <w:tc>
          <w:tcPr>
            <w:tcW w:w="516" w:type="pct"/>
            <w:shd w:val="clear" w:color="auto" w:fill="auto"/>
            <w:textDirection w:val="btLr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Никотиновая </w:t>
            </w:r>
          </w:p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515" w:type="pct"/>
            <w:shd w:val="clear" w:color="auto" w:fill="auto"/>
            <w:textDirection w:val="btLr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Оротовая </w:t>
            </w:r>
          </w:p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509" w:type="pct"/>
            <w:shd w:val="clear" w:color="auto" w:fill="auto"/>
            <w:textDirection w:val="btLr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Кофейная </w:t>
            </w:r>
          </w:p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520" w:type="pct"/>
            <w:shd w:val="clear" w:color="auto" w:fill="auto"/>
            <w:textDirection w:val="btLr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Галловая </w:t>
            </w:r>
          </w:p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576" w:type="pct"/>
            <w:shd w:val="clear" w:color="auto" w:fill="auto"/>
            <w:textDirection w:val="btLr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Протокатеховая кислота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Достойный (РК)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30,08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1.771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Достойный (ВС)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0,07309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Достойный (БД)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0,08344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Дионис (РК)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8,998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6,109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 (ВС)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6,598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Дионис (БД)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11,238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5,672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Красностоп АЗОС(РК)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9,807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16,88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0,4245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Красностоп АЗОС(ВС)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8,999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9,072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7,362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Красностоп АЗОС(БД)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35,16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8,193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Каберне (РК)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0,7322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0,5134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0,9244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Каберне (ВС)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7,877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91,56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0,5416</w:t>
            </w:r>
          </w:p>
        </w:tc>
      </w:tr>
      <w:tr w:rsidR="00883F47" w:rsidRPr="00883F47" w:rsidTr="00C93F91">
        <w:tc>
          <w:tcPr>
            <w:tcW w:w="95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Каберне (БД)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0,4407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1,1896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0,5172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8,9445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0,0977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83F47" w:rsidRPr="00883F47" w:rsidRDefault="00883F47" w:rsidP="008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3F47" w:rsidRPr="00883F47" w:rsidRDefault="00883F47" w:rsidP="00883F47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pacing w:val="-2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Было изучено влияние сортовых особенностей виноградного растения и различных спиртующих агентов на массовую концентрацию ароматических веществ в виноматериалах из них. Определение количества альдегидов в вине является одним из основных для аналитической характеристики готового продукта. В опытных виноматериалах, количество ацетальдегида варьировало от 21,5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Красностопе АЗОС Совиньон до 80,9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Дионисе. В исследуемых виноматериалах концентрация фурфурола находилась в пределах от 4,2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 126,6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По общему количеству летучих компонентов, к которым кроме </w:t>
      </w:r>
      <w:r w:rsidRPr="00883F47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>ацетальдегида относятся диацетил, ацетоин, фурфурол, метилацеталь и др., лидирует виноматериал из Красностопа АЗОС с использованием в качестве спиртующего агента бидистиллята винного – 948,2 мг/дм</w:t>
      </w:r>
      <w:r w:rsidRPr="00883F47">
        <w:rPr>
          <w:rFonts w:ascii="Times New Roman" w:eastAsia="Calibri" w:hAnsi="Times New Roman" w:cs="Times New Roman"/>
          <w:spacing w:val="-2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pacing w:val="-2"/>
          <w:sz w:val="30"/>
          <w:szCs w:val="30"/>
          <w:lang w:eastAsia="ru-RU"/>
        </w:rPr>
        <w:t>.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Важной составной частью аромата вин служат сложные эфиры. В результате проведённых исследований выявлено, что в группе сложных эфиров во всех вариантах преобладают этилкапринат и этилацетат. Концентрация этилацетата варьировала в пределах от 8,0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Дионис(БД) до 129,9 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Каберне Совиньон (БД). Креплёные вина, получившие наивысшие дегустационные оценки, содержали в себе этилацетат в малых и средних количествах 9,3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Дионис (РК), 11,4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Каберне Совиньон (РК). Среди других эфиров в опытных виноматериалах были обнаружены </w:t>
      </w:r>
      <w:r w:rsidRPr="00883F47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этилформиат, этилвалериат, метилкапринат и др. Наибольшее количество сложных эфиров показали образцы вина Красностоп АЗОС (РК) и Каберне Совиньон (БД) со значением – 159,5 и 143,4 мг/дм</w:t>
      </w:r>
      <w:r w:rsidRPr="00883F47">
        <w:rPr>
          <w:rFonts w:ascii="Times New Roman" w:eastAsia="Calibri" w:hAnsi="Times New Roman" w:cs="Times New Roman"/>
          <w:spacing w:val="-4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, соответственно.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Так как метиловый спирт очень токсичен, большие его концентрации в вине нежелательны. Наибольшее количество метанола зафиксировано в образцах вина, где в качестве спиртующего агента был использован бидистиллят винный. В виноматериале из сорта Красностоп АЗОС концентрация метанола достигала 352,4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, в варианте из Каберне Совиньон – 516,8 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лучших, по органолептической 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оценке, винах этот показатель был невысоким и колебался в пределах 92,6 – 126,1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(Каберне Совиньон (РК) и Дионис (РК), соответственно).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Из группы сивушных масел преобладали 1-пропанол, изобутанол и 1-гексанол. Первые два соединения в максимальных количествах обнаружены в вариантах вин с применением в качестве спиртующего агента бидистиллята винного. Так, в варианте вина Каберне Совиньон (БД) концентрация 1-пропанола составила 53,1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, а изобутанола 79,8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. У ликёрного виноматериала Красностоп АЗОС (БД) эти показатели составили 40,3 и 78,2 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соответственно. 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Немаловажную роль в образовании аромата и вкуса вина играют алифатические кислоты, наибольшее их количество обнаружено в образце Дионис (РК), чем возможно обусловлены высокие ароматические характеристики образца. Кроме вышеописанных ароматических соединений, в исследуемых виноматериалах обнаружены компоненты, придающие винам фруктовый и медовый ароматы, в частности фенилэтанол (0,9 – 81,3мг/дм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) и ионон (1,3 – 17,3 мг/дм</w:t>
      </w:r>
      <w:r w:rsidRPr="00883F47">
        <w:rPr>
          <w:rFonts w:ascii="Times New Roman" w:eastAsia="Calibri" w:hAnsi="Times New Roman" w:cs="Times New Roman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). 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виноматериалах исследуемых сортов винограда суммарное содержание ароматических веществ находилось в пределах: от 506,3 мг/дм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 сорта Дионис до 2186,2 мг/дм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 сорта Красностоп АЗОС (БД) (рис. 2).</w:t>
      </w:r>
    </w:p>
    <w:p w:rsidR="00883F47" w:rsidRPr="00883F47" w:rsidRDefault="00883F47" w:rsidP="00883F47">
      <w:pPr>
        <w:spacing w:after="0" w:line="24" w:lineRule="atLeast"/>
        <w:jc w:val="both"/>
        <w:rPr>
          <w:rFonts w:ascii="Times New Roman" w:eastAsia="Calibri" w:hAnsi="Times New Roman" w:cs="Times New Roman"/>
          <w:sz w:val="30"/>
          <w:szCs w:val="24"/>
          <w:lang w:eastAsia="ru-RU"/>
        </w:rPr>
      </w:pPr>
      <w:r w:rsidRPr="00883F47">
        <w:rPr>
          <w:rFonts w:ascii="Times New Roman" w:eastAsia="Calibri" w:hAnsi="Times New Roman" w:cs="Times New Roman"/>
          <w:noProof/>
          <w:sz w:val="30"/>
          <w:szCs w:val="28"/>
          <w:lang w:eastAsia="ru-RU"/>
        </w:rPr>
        <w:drawing>
          <wp:inline distT="0" distB="0" distL="0" distR="0">
            <wp:extent cx="5676900" cy="288607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3F47" w:rsidRPr="00883F47" w:rsidRDefault="00883F47" w:rsidP="00883F4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</w:pPr>
      <w:r w:rsidRPr="00883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Рис. 2. Суммарная массовая концентрация ароматических компонентов, мг/дм</w:t>
      </w:r>
      <w:r w:rsidRPr="00883F4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883F47" w:rsidRPr="00883F47" w:rsidRDefault="00883F47" w:rsidP="00883F47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Как видно из анализируемых данных, применение в качестве спиртующего агента бидистиллята винного приводит к излишне высокому накоплению ароматических веществ за счёт нежелательных групп соединений, таких как метанол и сивушные масла.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Интегральным показателем качества вина является его органолептическая оценка.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 проведённом эксперименте наиболее 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 xml:space="preserve">высокие дегустационные оценки (9,38 – 9,51 балла) получили варианты специальных вин, приготовленные с применением в качестве спиртующего агента спирта – ректификата зернового происхождения крепостью 96,6% об. </w:t>
      </w: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Из винограда для производства красных специальных вин по качеству выделились интродуцированный сорт Каберне Совиньон, а также автохтонные сорта Красностоп АЗОС и Дионис, селекции Анапской ЗОСВиВ.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b/>
          <w:spacing w:val="-4"/>
          <w:sz w:val="30"/>
          <w:szCs w:val="30"/>
          <w:lang w:eastAsia="ru-RU"/>
        </w:rPr>
        <w:t>Выводы.</w:t>
      </w:r>
      <w:r w:rsidRPr="00883F47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1. По результатам эксперимента можно заключить, что критерием качественного красного ликёрного вина, является яркая окраска с концентрацией антоцианов в пределах 760,0– 870,0 мг/дм</w:t>
      </w:r>
      <w:r w:rsidRPr="00883F47">
        <w:rPr>
          <w:rFonts w:ascii="Times New Roman" w:eastAsia="Calibri" w:hAnsi="Times New Roman" w:cs="Times New Roman"/>
          <w:spacing w:val="-4"/>
          <w:sz w:val="30"/>
          <w:szCs w:val="30"/>
          <w:vertAlign w:val="superscript"/>
          <w:lang w:eastAsia="ru-RU"/>
        </w:rPr>
        <w:t>3</w:t>
      </w:r>
      <w:r w:rsidRPr="00883F47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.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2. По показателю массовой концентрации ресвератрола и других витаминоподобных веществ выделились вина с применением в качестве спиртующего агента зерновых и виноградных спиртов высокой крепости 96,6 – 91,0%. </w:t>
      </w:r>
      <w:r w:rsidRPr="00883F4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Применение бидистиллята винного с концентрацией спирта 75% негативно повлияло на содержание практически всех витаминов в опыте. </w:t>
      </w:r>
    </w:p>
    <w:p w:rsidR="00883F47" w:rsidRPr="00883F47" w:rsidRDefault="00883F47" w:rsidP="00883F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83F47">
        <w:rPr>
          <w:rFonts w:ascii="Times New Roman" w:eastAsia="Calibri" w:hAnsi="Times New Roman" w:cs="Times New Roman"/>
          <w:sz w:val="30"/>
          <w:szCs w:val="30"/>
          <w:lang w:eastAsia="ru-RU"/>
        </w:rPr>
        <w:t>3. В проведённом эксперименте наиболее высокие дегустационные оценки получили варианты ликёрных вин, приготовленные с применением в качестве спиртующего агента спирта – ректификата зернового происхождения. Применение бидистиллята винного приводит к излишне высокому накоплению нежелательных групп соединений, таких как метанол и сивушные масла, тем самым снижает качество ликёрного вина.</w:t>
      </w:r>
    </w:p>
    <w:p w:rsidR="00883F47" w:rsidRPr="00883F47" w:rsidRDefault="00883F47" w:rsidP="00883F47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F47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Литература.</w:t>
      </w:r>
    </w:p>
    <w:p w:rsidR="00883F47" w:rsidRPr="00883F47" w:rsidRDefault="00883F47" w:rsidP="00883F47">
      <w:pPr>
        <w:numPr>
          <w:ilvl w:val="0"/>
          <w:numId w:val="1"/>
        </w:numPr>
        <w:tabs>
          <w:tab w:val="left" w:pos="851"/>
        </w:tabs>
        <w:spacing w:after="0" w:line="24" w:lineRule="atLeast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3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сортимента винограда Краснодарского края на основе сравнительного изучения новых интродуцированных клонов / О.М. Ильяшенко, А.В. Дергунов, Е.В. Волкова, С.А. Лопин, Ю.А. Разживина // Виноделие и виноградарство. – 2012. – № 4. – С. 41– 44.</w:t>
      </w:r>
    </w:p>
    <w:p w:rsidR="00883F47" w:rsidRPr="00883F47" w:rsidRDefault="00883F47" w:rsidP="00883F47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3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Новые сорта винограда для производства высококачественных вин / Г.Е. Никулушкина, А.В. Дергунов, С.В. Щербаков, М.Д. Ларькина, С.В. Бедарев // Обеспечение устойчивого производства виноградовинодельческой отрасли на основе современных достижений науки. Материалы Междунар. дистанционной науч.- практ. конф. – Анапа: ГНУ АЗОСВиВ 2010. – С. 128–133.</w:t>
      </w:r>
    </w:p>
    <w:p w:rsidR="00883F47" w:rsidRPr="00883F47" w:rsidRDefault="00883F47" w:rsidP="00883F47">
      <w:pPr>
        <w:numPr>
          <w:ilvl w:val="0"/>
          <w:numId w:val="1"/>
        </w:numPr>
        <w:tabs>
          <w:tab w:val="left" w:pos="851"/>
        </w:tabs>
        <w:spacing w:after="0" w:line="24" w:lineRule="atLeast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3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Дергунов, А.В. Влияние биохимического состава виноматериалов из белых перспективных сортов винограда на качество винодельческой продукции / А.В. Дергунов, С.А. Лопин, О.М. Ильяшенко // Виноделие и виноградарство. – 2012. – № 4. – С. 22–25.</w:t>
      </w:r>
    </w:p>
    <w:p w:rsidR="00883F47" w:rsidRPr="00883F47" w:rsidRDefault="00883F47" w:rsidP="00883F47">
      <w:pPr>
        <w:numPr>
          <w:ilvl w:val="0"/>
          <w:numId w:val="1"/>
        </w:numPr>
        <w:tabs>
          <w:tab w:val="left" w:pos="851"/>
        </w:tabs>
        <w:spacing w:after="0" w:line="24" w:lineRule="atLeast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3F4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Влияние биотических и абиотических факторов на продуктивность виноградных растений с различным генетическим потенциалом / М.И. Панкин, О.М. Ильяшенко, А.В. Дергунов, А.Г. Коваленко, В.А. Большаков, Ю.А. Разживина // Обеспечение устойчивого производства виноградовинодельческой отрасли на основе современных достижений науки. Материалы Междунар. дистанционной науч.- практ. конф. – Анапа: ГНУ АЗОСВиВ, 2010. – С. 158–163.</w:t>
      </w:r>
    </w:p>
    <w:p w:rsidR="00883F47" w:rsidRPr="00883F47" w:rsidRDefault="00883F47" w:rsidP="00883F47">
      <w:pPr>
        <w:numPr>
          <w:ilvl w:val="0"/>
          <w:numId w:val="1"/>
        </w:numPr>
        <w:tabs>
          <w:tab w:val="left" w:pos="851"/>
        </w:tabs>
        <w:spacing w:after="0" w:line="24" w:lineRule="atLeast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3F47">
        <w:rPr>
          <w:rFonts w:ascii="Times New Roman" w:eastAsia="Batang" w:hAnsi="Times New Roman" w:cs="Times New Roman"/>
          <w:sz w:val="24"/>
          <w:szCs w:val="24"/>
          <w:lang w:eastAsia="ru-RU"/>
        </w:rPr>
        <w:t>Биологически активные вещества в виноматериалах из красных сортов винограда селекции АЗОСВиВ/ С.В. Бедарев, А.В. Дергунов, Т.И. Гугучкина, О.П. Пастарнакова // Виноделие и виноградарство. – 2010. – № 1. – С. 22–24.</w:t>
      </w:r>
    </w:p>
    <w:p w:rsidR="00DB6B6E" w:rsidRPr="00874F5B" w:rsidRDefault="00DB6B6E"/>
    <w:sectPr w:rsidR="00DB6B6E" w:rsidRPr="008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7B" w:rsidRDefault="00651A7B" w:rsidP="00337733">
      <w:pPr>
        <w:spacing w:after="0" w:line="240" w:lineRule="auto"/>
      </w:pPr>
      <w:r>
        <w:separator/>
      </w:r>
    </w:p>
  </w:endnote>
  <w:endnote w:type="continuationSeparator" w:id="0">
    <w:p w:rsidR="00651A7B" w:rsidRDefault="00651A7B" w:rsidP="0033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7B" w:rsidRDefault="00651A7B" w:rsidP="00337733">
      <w:pPr>
        <w:spacing w:after="0" w:line="240" w:lineRule="auto"/>
      </w:pPr>
      <w:r>
        <w:separator/>
      </w:r>
    </w:p>
  </w:footnote>
  <w:footnote w:type="continuationSeparator" w:id="0">
    <w:p w:rsidR="00651A7B" w:rsidRDefault="00651A7B" w:rsidP="0033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5155"/>
    <w:multiLevelType w:val="hybridMultilevel"/>
    <w:tmpl w:val="44807216"/>
    <w:lvl w:ilvl="0" w:tplc="2812A6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7"/>
    <w:rsid w:val="003158CF"/>
    <w:rsid w:val="00337733"/>
    <w:rsid w:val="0043511E"/>
    <w:rsid w:val="004A61F9"/>
    <w:rsid w:val="005B38A7"/>
    <w:rsid w:val="00651A7B"/>
    <w:rsid w:val="007461AA"/>
    <w:rsid w:val="00782C16"/>
    <w:rsid w:val="007B0AE0"/>
    <w:rsid w:val="00841797"/>
    <w:rsid w:val="00874F5B"/>
    <w:rsid w:val="00883F47"/>
    <w:rsid w:val="00B33299"/>
    <w:rsid w:val="00DB6B6E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F40C-47D1-46BE-BB5B-2A0F957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svi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osvi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86;&#1080;%20&#1076;&#1086;&#1082;&#1091;&#1084;&#1077;&#1085;&#1090;&#1099;\&#1057;&#1090;&#1072;&#1090;&#1100;&#1080;\&#1057;&#1090;&#1072;&#1090;&#1100;&#1080;-%2015\&#1089;&#1090;&#1072;&#1090;.%20&#1042;&#1080;&#1042;\2013%20&#1091;&#1088;%20&#1057;&#1087;&#1077;&#1094;&#1080;&#1072;&#1083;&#1100;&#1085;&#1099;&#1077;%20&#1074;&#1080;&#1085;&#1072;%20&#1092;&#1077;&#1085;%20&#1074;-&#1074;&#1072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98436905423993E-2"/>
          <c:y val="1.8879637652948884E-2"/>
          <c:w val="0.92820156309457602"/>
          <c:h val="0.62709544680120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Лист1!$F$1</c:f>
              <c:strCache>
                <c:ptCount val="1"/>
                <c:pt idx="0">
                  <c:v>Сумма фенольных в-в, мг/дм3</c:v>
                </c:pt>
              </c:strCache>
            </c:strRef>
          </c:tx>
          <c:invertIfNegative val="0"/>
          <c:cat>
            <c:strRef>
              <c:f>Лист1!$B$2:$E$13</c:f>
              <c:strCache>
                <c:ptCount val="12"/>
                <c:pt idx="0">
                  <c:v>Достойный (РК )</c:v>
                </c:pt>
                <c:pt idx="1">
                  <c:v>Достойный (ВС)</c:v>
                </c:pt>
                <c:pt idx="2">
                  <c:v>Достойный (БД)</c:v>
                </c:pt>
                <c:pt idx="3">
                  <c:v>Дионис (РК)</c:v>
                </c:pt>
                <c:pt idx="4">
                  <c:v>Дионис (ВС)</c:v>
                </c:pt>
                <c:pt idx="5">
                  <c:v>Дионис (БД)</c:v>
                </c:pt>
                <c:pt idx="6">
                  <c:v>Красностоп АЗОС(РК)</c:v>
                </c:pt>
                <c:pt idx="7">
                  <c:v>Красностоп АЗОС(ВС)</c:v>
                </c:pt>
                <c:pt idx="8">
                  <c:v>Красностоп АЗОС(БД)</c:v>
                </c:pt>
                <c:pt idx="9">
                  <c:v>Каберне (РК)</c:v>
                </c:pt>
                <c:pt idx="10">
                  <c:v> Каберне (ВС)</c:v>
                </c:pt>
                <c:pt idx="11">
                  <c:v>Каберне (БД)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3125.6</c:v>
                </c:pt>
                <c:pt idx="1">
                  <c:v>3227.9</c:v>
                </c:pt>
                <c:pt idx="2">
                  <c:v>3479.7</c:v>
                </c:pt>
                <c:pt idx="3">
                  <c:v>2790.1</c:v>
                </c:pt>
                <c:pt idx="4">
                  <c:v>2859.5</c:v>
                </c:pt>
                <c:pt idx="5">
                  <c:v>3215.2</c:v>
                </c:pt>
                <c:pt idx="6">
                  <c:v>4168.7</c:v>
                </c:pt>
                <c:pt idx="7">
                  <c:v>3981.2</c:v>
                </c:pt>
                <c:pt idx="8">
                  <c:v>3745.4</c:v>
                </c:pt>
                <c:pt idx="9">
                  <c:v>2985</c:v>
                </c:pt>
                <c:pt idx="10">
                  <c:v>2990.3</c:v>
                </c:pt>
                <c:pt idx="11">
                  <c:v>3019.4</c:v>
                </c:pt>
              </c:numCache>
            </c:numRef>
          </c:val>
        </c:ser>
        <c:ser>
          <c:idx val="1"/>
          <c:order val="1"/>
          <c:tx>
            <c:strRef>
              <c:f>Лист1!$G$1</c:f>
              <c:strCache>
                <c:ptCount val="1"/>
                <c:pt idx="0">
                  <c:v>Мономерные формы ФС, мг/дм3</c:v>
                </c:pt>
              </c:strCache>
            </c:strRef>
          </c:tx>
          <c:invertIfNegative val="0"/>
          <c:cat>
            <c:strRef>
              <c:f>Лист1!$B$2:$E$13</c:f>
              <c:strCache>
                <c:ptCount val="12"/>
                <c:pt idx="0">
                  <c:v>Достойный (РК )</c:v>
                </c:pt>
                <c:pt idx="1">
                  <c:v>Достойный (ВС)</c:v>
                </c:pt>
                <c:pt idx="2">
                  <c:v>Достойный (БД)</c:v>
                </c:pt>
                <c:pt idx="3">
                  <c:v>Дионис (РК)</c:v>
                </c:pt>
                <c:pt idx="4">
                  <c:v>Дионис (ВС)</c:v>
                </c:pt>
                <c:pt idx="5">
                  <c:v>Дионис (БД)</c:v>
                </c:pt>
                <c:pt idx="6">
                  <c:v>Красностоп АЗОС(РК)</c:v>
                </c:pt>
                <c:pt idx="7">
                  <c:v>Красностоп АЗОС(ВС)</c:v>
                </c:pt>
                <c:pt idx="8">
                  <c:v>Красностоп АЗОС(БД)</c:v>
                </c:pt>
                <c:pt idx="9">
                  <c:v>Каберне (РК)</c:v>
                </c:pt>
                <c:pt idx="10">
                  <c:v> Каберне (ВС)</c:v>
                </c:pt>
                <c:pt idx="11">
                  <c:v>Каберне (БД)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1176.5</c:v>
                </c:pt>
                <c:pt idx="1">
                  <c:v>1751</c:v>
                </c:pt>
                <c:pt idx="2">
                  <c:v>1750.7</c:v>
                </c:pt>
                <c:pt idx="3">
                  <c:v>1065.0999999999999</c:v>
                </c:pt>
                <c:pt idx="4">
                  <c:v>939</c:v>
                </c:pt>
                <c:pt idx="5">
                  <c:v>1744.9</c:v>
                </c:pt>
                <c:pt idx="6">
                  <c:v>1748.1</c:v>
                </c:pt>
                <c:pt idx="7">
                  <c:v>1547.3</c:v>
                </c:pt>
                <c:pt idx="8">
                  <c:v>1405.4</c:v>
                </c:pt>
                <c:pt idx="9">
                  <c:v>1712.3</c:v>
                </c:pt>
                <c:pt idx="10">
                  <c:v>1751.1</c:v>
                </c:pt>
                <c:pt idx="11">
                  <c:v>1751.2</c:v>
                </c:pt>
              </c:numCache>
            </c:numRef>
          </c:val>
        </c:ser>
        <c:ser>
          <c:idx val="2"/>
          <c:order val="2"/>
          <c:tx>
            <c:strRef>
              <c:f>Лист1!$H$1</c:f>
              <c:strCache>
                <c:ptCount val="1"/>
                <c:pt idx="0">
                  <c:v>Антоцианы, мг/дм3</c:v>
                </c:pt>
              </c:strCache>
            </c:strRef>
          </c:tx>
          <c:invertIfNegative val="0"/>
          <c:cat>
            <c:strRef>
              <c:f>Лист1!$B$2:$E$13</c:f>
              <c:strCache>
                <c:ptCount val="12"/>
                <c:pt idx="0">
                  <c:v>Достойный (РК )</c:v>
                </c:pt>
                <c:pt idx="1">
                  <c:v>Достойный (ВС)</c:v>
                </c:pt>
                <c:pt idx="2">
                  <c:v>Достойный (БД)</c:v>
                </c:pt>
                <c:pt idx="3">
                  <c:v>Дионис (РК)</c:v>
                </c:pt>
                <c:pt idx="4">
                  <c:v>Дионис (ВС)</c:v>
                </c:pt>
                <c:pt idx="5">
                  <c:v>Дионис (БД)</c:v>
                </c:pt>
                <c:pt idx="6">
                  <c:v>Красностоп АЗОС(РК)</c:v>
                </c:pt>
                <c:pt idx="7">
                  <c:v>Красностоп АЗОС(ВС)</c:v>
                </c:pt>
                <c:pt idx="8">
                  <c:v>Красностоп АЗОС(БД)</c:v>
                </c:pt>
                <c:pt idx="9">
                  <c:v>Каберне (РК)</c:v>
                </c:pt>
                <c:pt idx="10">
                  <c:v> Каберне (ВС)</c:v>
                </c:pt>
                <c:pt idx="11">
                  <c:v>Каберне (БД)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0">
                  <c:v>721.3</c:v>
                </c:pt>
                <c:pt idx="1">
                  <c:v>546.54999999999995</c:v>
                </c:pt>
                <c:pt idx="2">
                  <c:v>569.9</c:v>
                </c:pt>
                <c:pt idx="3">
                  <c:v>808.25</c:v>
                </c:pt>
                <c:pt idx="4">
                  <c:v>784.8</c:v>
                </c:pt>
                <c:pt idx="5">
                  <c:v>566.25</c:v>
                </c:pt>
                <c:pt idx="6">
                  <c:v>874.55</c:v>
                </c:pt>
                <c:pt idx="7">
                  <c:v>912.5</c:v>
                </c:pt>
                <c:pt idx="8">
                  <c:v>931.7</c:v>
                </c:pt>
                <c:pt idx="9">
                  <c:v>762.95</c:v>
                </c:pt>
                <c:pt idx="10">
                  <c:v>804.9</c:v>
                </c:pt>
                <c:pt idx="11">
                  <c:v>712.2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8301584"/>
        <c:axId val="1578303760"/>
        <c:axId val="0"/>
      </c:bar3DChart>
      <c:catAx>
        <c:axId val="1578301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8303760"/>
        <c:crosses val="autoZero"/>
        <c:auto val="1"/>
        <c:lblAlgn val="ctr"/>
        <c:lblOffset val="100"/>
        <c:noMultiLvlLbl val="0"/>
      </c:catAx>
      <c:valAx>
        <c:axId val="157830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830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0888155109643537E-2"/>
          <c:y val="0.93375654735297831"/>
          <c:w val="0.97567098467530289"/>
          <c:h val="6.624345264702173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Лист2!$A$2:$A$13</c:f>
              <c:strCache>
                <c:ptCount val="12"/>
                <c:pt idx="0">
                  <c:v>Достойный (РК )</c:v>
                </c:pt>
                <c:pt idx="1">
                  <c:v>Достойный (ВС)</c:v>
                </c:pt>
                <c:pt idx="2">
                  <c:v>Достойный (БД)</c:v>
                </c:pt>
                <c:pt idx="3">
                  <c:v>Дионис (РК)</c:v>
                </c:pt>
                <c:pt idx="4">
                  <c:v>Дионис (ВС)</c:v>
                </c:pt>
                <c:pt idx="5">
                  <c:v>Дионис (БД)</c:v>
                </c:pt>
                <c:pt idx="6">
                  <c:v>Красностоп АЗОС(РК)</c:v>
                </c:pt>
                <c:pt idx="7">
                  <c:v>Красностоп АЗОС(ВС)</c:v>
                </c:pt>
                <c:pt idx="8">
                  <c:v>Красностоп АЗОС(БД)</c:v>
                </c:pt>
                <c:pt idx="9">
                  <c:v>Каберне (РК)</c:v>
                </c:pt>
                <c:pt idx="10">
                  <c:v> Каберне (ВС)</c:v>
                </c:pt>
                <c:pt idx="11">
                  <c:v>Каберне (БД)</c:v>
                </c:pt>
              </c:strCache>
            </c:strRef>
          </c:cat>
          <c:val>
            <c:numRef>
              <c:f>Лист2!$B$2:$B$13</c:f>
              <c:numCache>
                <c:formatCode>General</c:formatCode>
                <c:ptCount val="12"/>
                <c:pt idx="0">
                  <c:v>1021.27</c:v>
                </c:pt>
                <c:pt idx="1">
                  <c:v>1003.83</c:v>
                </c:pt>
                <c:pt idx="2">
                  <c:v>1616.84</c:v>
                </c:pt>
                <c:pt idx="3">
                  <c:v>506.3</c:v>
                </c:pt>
                <c:pt idx="4">
                  <c:v>1077.96</c:v>
                </c:pt>
                <c:pt idx="5">
                  <c:v>1153.8</c:v>
                </c:pt>
                <c:pt idx="6">
                  <c:v>1968.25</c:v>
                </c:pt>
                <c:pt idx="7">
                  <c:v>2054.1999999999998</c:v>
                </c:pt>
                <c:pt idx="8">
                  <c:v>2186.2399999999998</c:v>
                </c:pt>
                <c:pt idx="9">
                  <c:v>1038.96</c:v>
                </c:pt>
                <c:pt idx="10">
                  <c:v>1170.48</c:v>
                </c:pt>
                <c:pt idx="11">
                  <c:v>1765.21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4367760"/>
        <c:axId val="1054368304"/>
        <c:axId val="0"/>
      </c:bar3DChart>
      <c:catAx>
        <c:axId val="105436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4368304"/>
        <c:crosses val="autoZero"/>
        <c:auto val="1"/>
        <c:lblAlgn val="ctr"/>
        <c:lblOffset val="100"/>
        <c:noMultiLvlLbl val="0"/>
      </c:catAx>
      <c:valAx>
        <c:axId val="105436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367760"/>
        <c:crosses val="autoZero"/>
        <c:crossBetween val="between"/>
      </c:valAx>
      <c:spPr>
        <a:noFill/>
        <a:ln w="2536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2016-12-22T08:30:00Z</dcterms:created>
  <dcterms:modified xsi:type="dcterms:W3CDTF">2016-12-22T08:30:00Z</dcterms:modified>
</cp:coreProperties>
</file>