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530"/>
        <w:gridCol w:w="4531"/>
      </w:tblGrid>
      <w:tr w:rsidR="008A1091" w:rsidRPr="008A1091" w:rsidTr="00C93F91">
        <w:trPr>
          <w:jc w:val="center"/>
        </w:trPr>
        <w:tc>
          <w:tcPr>
            <w:tcW w:w="9061" w:type="dxa"/>
            <w:gridSpan w:val="2"/>
            <w:shd w:val="clear" w:color="auto" w:fill="auto"/>
          </w:tcPr>
          <w:p w:rsidR="008A1091" w:rsidRPr="008A1091" w:rsidRDefault="008A1091" w:rsidP="008A1091">
            <w:pPr>
              <w:spacing w:before="480" w:after="240" w:line="240" w:lineRule="auto"/>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УДК: 663.252: 663.253</w:t>
            </w:r>
          </w:p>
          <w:p w:rsidR="008A1091" w:rsidRPr="008A1091" w:rsidRDefault="008A1091" w:rsidP="008A1091">
            <w:pPr>
              <w:spacing w:after="0" w:line="240" w:lineRule="auto"/>
              <w:jc w:val="center"/>
              <w:rPr>
                <w:rFonts w:ascii="Times New Roman" w:eastAsia="Times New Roman" w:hAnsi="Times New Roman" w:cs="Times New Roman"/>
                <w:b/>
                <w:sz w:val="28"/>
                <w:szCs w:val="28"/>
                <w:lang w:eastAsia="ru-RU"/>
              </w:rPr>
            </w:pPr>
            <w:r w:rsidRPr="008A1091">
              <w:rPr>
                <w:rFonts w:ascii="Times New Roman" w:eastAsia="Times New Roman" w:hAnsi="Times New Roman" w:cs="Times New Roman"/>
                <w:b/>
                <w:sz w:val="28"/>
                <w:szCs w:val="28"/>
                <w:lang w:eastAsia="ru-RU"/>
              </w:rPr>
              <w:t xml:space="preserve">ВЛИЯНИЕ СТЕПЕНИ ДЕАЛКОГОЛИЗАЦИИ </w:t>
            </w:r>
          </w:p>
          <w:p w:rsidR="008A1091" w:rsidRPr="008A1091" w:rsidRDefault="008A1091" w:rsidP="008A1091">
            <w:pPr>
              <w:spacing w:after="240" w:line="240" w:lineRule="auto"/>
              <w:jc w:val="center"/>
              <w:rPr>
                <w:rFonts w:ascii="Times New Roman" w:eastAsia="Times New Roman" w:hAnsi="Times New Roman" w:cs="Times New Roman"/>
                <w:b/>
                <w:sz w:val="28"/>
                <w:szCs w:val="28"/>
                <w:lang w:eastAsia="ru-RU"/>
              </w:rPr>
            </w:pPr>
            <w:r w:rsidRPr="008A1091">
              <w:rPr>
                <w:rFonts w:ascii="Times New Roman" w:eastAsia="Times New Roman" w:hAnsi="Times New Roman" w:cs="Times New Roman"/>
                <w:b/>
                <w:sz w:val="28"/>
                <w:szCs w:val="28"/>
                <w:lang w:eastAsia="ru-RU"/>
              </w:rPr>
              <w:t>НА ЛЕТУЧИЙ КОМПЛЕКС БЕЛЫХ СУХИХ ВИН</w:t>
            </w:r>
          </w:p>
          <w:p w:rsidR="008A1091" w:rsidRPr="008A1091" w:rsidRDefault="008A1091" w:rsidP="008A1091">
            <w:pPr>
              <w:spacing w:after="240" w:line="240" w:lineRule="auto"/>
              <w:jc w:val="center"/>
              <w:rPr>
                <w:rFonts w:ascii="Times New Roman" w:eastAsia="Times New Roman" w:hAnsi="Times New Roman" w:cs="Times New Roman"/>
                <w:b/>
                <w:sz w:val="28"/>
                <w:szCs w:val="28"/>
                <w:lang w:val="en-US" w:eastAsia="ru-RU"/>
              </w:rPr>
            </w:pPr>
            <w:r w:rsidRPr="008A1091">
              <w:rPr>
                <w:rFonts w:ascii="Times New Roman" w:eastAsia="Times New Roman" w:hAnsi="Times New Roman" w:cs="Times New Roman"/>
                <w:b/>
                <w:sz w:val="28"/>
                <w:szCs w:val="28"/>
                <w:lang w:val="en-US" w:eastAsia="ru-RU"/>
              </w:rPr>
              <w:t>INFLUENCE OF DEALCOHOLIZATION DEGREE ON VOLATILE COMPLEX OF WHITE DRY WINES</w:t>
            </w:r>
          </w:p>
        </w:tc>
      </w:tr>
      <w:tr w:rsidR="008A1091" w:rsidRPr="008A1091" w:rsidTr="00C93F91">
        <w:trPr>
          <w:jc w:val="center"/>
        </w:trPr>
        <w:tc>
          <w:tcPr>
            <w:tcW w:w="4530" w:type="dxa"/>
            <w:shd w:val="clear" w:color="auto" w:fill="auto"/>
          </w:tcPr>
          <w:p w:rsidR="008A1091" w:rsidRPr="008A1091" w:rsidRDefault="008A1091" w:rsidP="008A1091">
            <w:pPr>
              <w:spacing w:after="0" w:line="240" w:lineRule="auto"/>
              <w:rPr>
                <w:rFonts w:ascii="Times New Roman" w:eastAsia="Times New Roman" w:hAnsi="Times New Roman" w:cs="Times New Roman"/>
                <w:i/>
                <w:sz w:val="24"/>
                <w:szCs w:val="24"/>
                <w:lang w:eastAsia="ru-RU"/>
              </w:rPr>
            </w:pPr>
            <w:r w:rsidRPr="008A1091">
              <w:rPr>
                <w:rFonts w:ascii="Times New Roman" w:eastAsia="Times New Roman" w:hAnsi="Times New Roman" w:cs="Times New Roman"/>
                <w:i/>
                <w:sz w:val="24"/>
                <w:szCs w:val="24"/>
                <w:lang w:eastAsia="ru-RU"/>
              </w:rPr>
              <w:t xml:space="preserve">Н.Г. Таран, С.С. Васюкович, </w:t>
            </w:r>
          </w:p>
          <w:p w:rsidR="008A1091" w:rsidRPr="008A1091" w:rsidRDefault="008A1091" w:rsidP="008A1091">
            <w:pPr>
              <w:spacing w:after="0" w:line="240" w:lineRule="auto"/>
              <w:rPr>
                <w:rFonts w:ascii="Times New Roman" w:eastAsia="Times New Roman" w:hAnsi="Times New Roman" w:cs="Times New Roman"/>
                <w:i/>
                <w:sz w:val="24"/>
                <w:szCs w:val="24"/>
                <w:lang w:eastAsia="ru-RU"/>
              </w:rPr>
            </w:pPr>
            <w:r w:rsidRPr="008A1091">
              <w:rPr>
                <w:rFonts w:ascii="Times New Roman" w:eastAsia="Times New Roman" w:hAnsi="Times New Roman" w:cs="Times New Roman"/>
                <w:i/>
                <w:sz w:val="24"/>
                <w:szCs w:val="24"/>
                <w:lang w:val="en-US" w:eastAsia="ru-RU"/>
              </w:rPr>
              <w:t>O</w:t>
            </w:r>
            <w:r w:rsidRPr="008A1091">
              <w:rPr>
                <w:rFonts w:ascii="Times New Roman" w:eastAsia="Times New Roman" w:hAnsi="Times New Roman" w:cs="Times New Roman"/>
                <w:i/>
                <w:sz w:val="24"/>
                <w:szCs w:val="24"/>
                <w:lang w:eastAsia="ru-RU"/>
              </w:rPr>
              <w:t>.В. Солдатенко</w:t>
            </w:r>
          </w:p>
          <w:p w:rsidR="008A1091" w:rsidRPr="008A1091" w:rsidRDefault="008A1091" w:rsidP="008A1091">
            <w:pPr>
              <w:spacing w:after="0" w:line="240" w:lineRule="auto"/>
              <w:rPr>
                <w:rFonts w:ascii="Times New Roman" w:eastAsia="Times New Roman" w:hAnsi="Times New Roman" w:cs="Times New Roman"/>
                <w:b/>
                <w:sz w:val="24"/>
                <w:szCs w:val="24"/>
                <w:lang w:eastAsia="ru-RU"/>
              </w:rPr>
            </w:pPr>
          </w:p>
        </w:tc>
        <w:tc>
          <w:tcPr>
            <w:tcW w:w="4531" w:type="dxa"/>
            <w:shd w:val="clear" w:color="auto" w:fill="auto"/>
          </w:tcPr>
          <w:p w:rsidR="008A1091" w:rsidRPr="008A1091" w:rsidRDefault="008A1091" w:rsidP="008A1091">
            <w:pPr>
              <w:spacing w:after="0" w:line="240" w:lineRule="auto"/>
              <w:rPr>
                <w:rFonts w:ascii="Times New Roman" w:eastAsia="Times New Roman" w:hAnsi="Times New Roman" w:cs="Times New Roman"/>
                <w:i/>
                <w:sz w:val="24"/>
                <w:szCs w:val="24"/>
                <w:lang w:val="en-US" w:eastAsia="ru-RU"/>
              </w:rPr>
            </w:pPr>
            <w:r w:rsidRPr="008A1091">
              <w:rPr>
                <w:rFonts w:ascii="Times New Roman" w:eastAsia="Times New Roman" w:hAnsi="Times New Roman" w:cs="Times New Roman"/>
                <w:i/>
                <w:sz w:val="24"/>
                <w:szCs w:val="24"/>
                <w:lang w:val="en-US" w:eastAsia="ru-RU"/>
              </w:rPr>
              <w:t xml:space="preserve">N.G. Taran, S.S. Vasiucovich, </w:t>
            </w:r>
          </w:p>
          <w:p w:rsidR="008A1091" w:rsidRPr="008A1091" w:rsidRDefault="008A1091" w:rsidP="008A1091">
            <w:pPr>
              <w:spacing w:after="0" w:line="240" w:lineRule="auto"/>
              <w:rPr>
                <w:rFonts w:ascii="Times New Roman" w:eastAsia="Times New Roman" w:hAnsi="Times New Roman" w:cs="Times New Roman"/>
                <w:i/>
                <w:sz w:val="24"/>
                <w:szCs w:val="24"/>
                <w:lang w:val="en-US" w:eastAsia="ru-RU"/>
              </w:rPr>
            </w:pPr>
            <w:r w:rsidRPr="008A1091">
              <w:rPr>
                <w:rFonts w:ascii="Times New Roman" w:eastAsia="Times New Roman" w:hAnsi="Times New Roman" w:cs="Times New Roman"/>
                <w:i/>
                <w:sz w:val="24"/>
                <w:szCs w:val="24"/>
                <w:lang w:val="en-US" w:eastAsia="ru-RU"/>
              </w:rPr>
              <w:t>O.V. Soldatenco</w:t>
            </w:r>
          </w:p>
          <w:p w:rsidR="008A1091" w:rsidRPr="008A1091" w:rsidRDefault="008A1091" w:rsidP="008A1091">
            <w:pPr>
              <w:spacing w:after="0" w:line="240" w:lineRule="auto"/>
              <w:rPr>
                <w:rFonts w:ascii="Times New Roman" w:eastAsia="Times New Roman" w:hAnsi="Times New Roman" w:cs="Times New Roman"/>
                <w:b/>
                <w:sz w:val="24"/>
                <w:szCs w:val="24"/>
                <w:lang w:val="en-US" w:eastAsia="ru-RU"/>
              </w:rPr>
            </w:pPr>
          </w:p>
        </w:tc>
      </w:tr>
      <w:tr w:rsidR="008A1091" w:rsidRPr="008A1091" w:rsidTr="00C93F91">
        <w:trPr>
          <w:jc w:val="center"/>
        </w:trPr>
        <w:tc>
          <w:tcPr>
            <w:tcW w:w="4530" w:type="dxa"/>
            <w:shd w:val="clear" w:color="auto" w:fill="auto"/>
          </w:tcPr>
          <w:p w:rsidR="008A1091" w:rsidRPr="008A1091" w:rsidRDefault="008A1091" w:rsidP="008A1091">
            <w:pPr>
              <w:spacing w:after="0" w:line="240" w:lineRule="auto"/>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 xml:space="preserve">Научно-Практический Институт </w:t>
            </w:r>
          </w:p>
          <w:p w:rsidR="008A1091" w:rsidRPr="008A1091" w:rsidRDefault="008A1091" w:rsidP="008A1091">
            <w:pPr>
              <w:spacing w:after="0" w:line="240" w:lineRule="auto"/>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 xml:space="preserve">Садоводства, Виноградарства и </w:t>
            </w:r>
          </w:p>
          <w:p w:rsidR="008A1091" w:rsidRPr="008A1091" w:rsidRDefault="008A1091" w:rsidP="008A1091">
            <w:pPr>
              <w:spacing w:after="0" w:line="240" w:lineRule="auto"/>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 xml:space="preserve">Пищевых Технологий, Кишинев, </w:t>
            </w:r>
          </w:p>
          <w:p w:rsidR="008A1091" w:rsidRPr="008A1091" w:rsidRDefault="008A1091" w:rsidP="008A1091">
            <w:pPr>
              <w:spacing w:after="0" w:line="240" w:lineRule="auto"/>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Республика Молдова,</w:t>
            </w:r>
          </w:p>
          <w:p w:rsidR="008A1091" w:rsidRPr="008A1091" w:rsidRDefault="008A1091" w:rsidP="008A1091">
            <w:pPr>
              <w:spacing w:after="0" w:line="240" w:lineRule="auto"/>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 xml:space="preserve"> </w:t>
            </w:r>
            <w:hyperlink r:id="rId7" w:history="1">
              <w:r w:rsidRPr="008A1091">
                <w:rPr>
                  <w:rFonts w:ascii="Times New Roman" w:eastAsia="Times New Roman" w:hAnsi="Times New Roman" w:cs="Times New Roman"/>
                  <w:sz w:val="24"/>
                  <w:szCs w:val="24"/>
                  <w:lang w:val="en-US" w:eastAsia="ru-RU"/>
                </w:rPr>
                <w:t>stoleicova</w:t>
              </w:r>
              <w:r w:rsidRPr="008A1091">
                <w:rPr>
                  <w:rFonts w:ascii="Times New Roman" w:eastAsia="Times New Roman" w:hAnsi="Times New Roman" w:cs="Times New Roman"/>
                  <w:sz w:val="24"/>
                  <w:szCs w:val="24"/>
                  <w:lang w:eastAsia="ru-RU"/>
                </w:rPr>
                <w:t>_</w:t>
              </w:r>
              <w:r w:rsidRPr="008A1091">
                <w:rPr>
                  <w:rFonts w:ascii="Times New Roman" w:eastAsia="Times New Roman" w:hAnsi="Times New Roman" w:cs="Times New Roman"/>
                  <w:sz w:val="24"/>
                  <w:szCs w:val="24"/>
                  <w:lang w:val="en-US" w:eastAsia="ru-RU"/>
                </w:rPr>
                <w:t>svetlana</w:t>
              </w:r>
              <w:r w:rsidRPr="008A1091">
                <w:rPr>
                  <w:rFonts w:ascii="Times New Roman" w:eastAsia="Times New Roman" w:hAnsi="Times New Roman" w:cs="Times New Roman"/>
                  <w:sz w:val="24"/>
                  <w:szCs w:val="24"/>
                  <w:lang w:eastAsia="ru-RU"/>
                </w:rPr>
                <w:t>@</w:t>
              </w:r>
              <w:r w:rsidRPr="008A1091">
                <w:rPr>
                  <w:rFonts w:ascii="Times New Roman" w:eastAsia="Times New Roman" w:hAnsi="Times New Roman" w:cs="Times New Roman"/>
                  <w:sz w:val="24"/>
                  <w:szCs w:val="24"/>
                  <w:lang w:val="en-US" w:eastAsia="ru-RU"/>
                </w:rPr>
                <w:t>mail</w:t>
              </w:r>
              <w:r w:rsidRPr="008A1091">
                <w:rPr>
                  <w:rFonts w:ascii="Times New Roman" w:eastAsia="Times New Roman" w:hAnsi="Times New Roman" w:cs="Times New Roman"/>
                  <w:sz w:val="24"/>
                  <w:szCs w:val="24"/>
                  <w:lang w:eastAsia="ru-RU"/>
                </w:rPr>
                <w:t>.</w:t>
              </w:r>
              <w:r w:rsidRPr="008A1091">
                <w:rPr>
                  <w:rFonts w:ascii="Times New Roman" w:eastAsia="Times New Roman" w:hAnsi="Times New Roman" w:cs="Times New Roman"/>
                  <w:sz w:val="24"/>
                  <w:szCs w:val="24"/>
                  <w:lang w:val="en-US" w:eastAsia="ru-RU"/>
                </w:rPr>
                <w:t>ru</w:t>
              </w:r>
            </w:hyperlink>
          </w:p>
          <w:p w:rsidR="008A1091" w:rsidRPr="008A1091" w:rsidRDefault="008A1091" w:rsidP="008A1091">
            <w:pPr>
              <w:spacing w:after="0" w:line="240" w:lineRule="auto"/>
              <w:rPr>
                <w:rFonts w:ascii="Times New Roman" w:eastAsia="Times New Roman" w:hAnsi="Times New Roman" w:cs="Times New Roman"/>
                <w:i/>
                <w:sz w:val="28"/>
                <w:szCs w:val="28"/>
                <w:lang w:eastAsia="ru-RU"/>
              </w:rPr>
            </w:pPr>
          </w:p>
        </w:tc>
        <w:tc>
          <w:tcPr>
            <w:tcW w:w="4531" w:type="dxa"/>
            <w:shd w:val="clear" w:color="auto" w:fill="auto"/>
          </w:tcPr>
          <w:p w:rsidR="008A1091" w:rsidRPr="008A1091" w:rsidRDefault="008A1091" w:rsidP="008A1091">
            <w:pPr>
              <w:spacing w:after="0" w:line="240" w:lineRule="auto"/>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 xml:space="preserve">Scientific and Practical Institute </w:t>
            </w:r>
          </w:p>
          <w:p w:rsidR="008A1091" w:rsidRPr="008A1091" w:rsidRDefault="008A1091" w:rsidP="008A1091">
            <w:pPr>
              <w:spacing w:after="0" w:line="240" w:lineRule="auto"/>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 xml:space="preserve">of Horticulture and Food Technologies, </w:t>
            </w:r>
          </w:p>
          <w:p w:rsidR="008A1091" w:rsidRPr="008A1091" w:rsidRDefault="008A1091" w:rsidP="008A1091">
            <w:pPr>
              <w:spacing w:after="0" w:line="240" w:lineRule="auto"/>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 xml:space="preserve">Chisinau, Republic of Moldova, </w:t>
            </w:r>
            <w:hyperlink r:id="rId8" w:history="1">
              <w:r w:rsidRPr="008A1091">
                <w:rPr>
                  <w:rFonts w:ascii="Times New Roman" w:eastAsia="Times New Roman" w:hAnsi="Times New Roman" w:cs="Times New Roman"/>
                  <w:sz w:val="24"/>
                  <w:szCs w:val="24"/>
                  <w:lang w:val="en-US" w:eastAsia="ru-RU"/>
                </w:rPr>
                <w:t>stoleicova_svetlana@mail.ru</w:t>
              </w:r>
            </w:hyperlink>
          </w:p>
          <w:p w:rsidR="008A1091" w:rsidRPr="008A1091" w:rsidRDefault="008A1091" w:rsidP="008A1091">
            <w:pPr>
              <w:spacing w:after="0" w:line="240" w:lineRule="auto"/>
              <w:rPr>
                <w:rFonts w:ascii="Times New Roman" w:eastAsia="Times New Roman" w:hAnsi="Times New Roman" w:cs="Times New Roman"/>
                <w:i/>
                <w:sz w:val="28"/>
                <w:szCs w:val="28"/>
                <w:lang w:val="en-US" w:eastAsia="ru-RU"/>
              </w:rPr>
            </w:pPr>
          </w:p>
        </w:tc>
      </w:tr>
      <w:tr w:rsidR="008A1091" w:rsidRPr="008A1091" w:rsidTr="00C93F91">
        <w:trPr>
          <w:trHeight w:val="1909"/>
          <w:jc w:val="center"/>
        </w:trPr>
        <w:tc>
          <w:tcPr>
            <w:tcW w:w="4530" w:type="dxa"/>
            <w:shd w:val="clear" w:color="auto" w:fill="auto"/>
          </w:tcPr>
          <w:p w:rsidR="008A1091" w:rsidRPr="008A1091" w:rsidRDefault="008A1091" w:rsidP="008A1091">
            <w:pPr>
              <w:spacing w:after="0" w:line="240" w:lineRule="auto"/>
              <w:jc w:val="both"/>
              <w:rPr>
                <w:rFonts w:ascii="Times New Roman" w:eastAsia="Times New Roman" w:hAnsi="Times New Roman" w:cs="Times New Roman"/>
                <w:sz w:val="24"/>
                <w:szCs w:val="24"/>
                <w:lang w:eastAsia="ru-RU"/>
              </w:rPr>
            </w:pPr>
            <w:r w:rsidRPr="008A1091">
              <w:rPr>
                <w:rFonts w:ascii="Times New Roman" w:eastAsia="Times New Roman" w:hAnsi="Times New Roman" w:cs="Times New Roman"/>
                <w:b/>
                <w:sz w:val="24"/>
                <w:szCs w:val="24"/>
                <w:lang w:eastAsia="ru-RU"/>
              </w:rPr>
              <w:t>Аннотация.</w:t>
            </w:r>
            <w:r w:rsidRPr="008A1091">
              <w:rPr>
                <w:rFonts w:ascii="Times New Roman" w:eastAsia="Times New Roman" w:hAnsi="Times New Roman" w:cs="Times New Roman"/>
                <w:sz w:val="24"/>
                <w:szCs w:val="24"/>
                <w:lang w:eastAsia="ru-RU"/>
              </w:rPr>
              <w:t xml:space="preserve"> В работе изучено влияние процесса деалкоолизации на потери высших спиртов, эфиров, жирных кислот и ароматических альдегидов и кетонов, а также на физико-химические и органолептические показатели белых сухих вин Шардоне.</w:t>
            </w:r>
          </w:p>
          <w:p w:rsidR="008A1091" w:rsidRPr="008A1091" w:rsidRDefault="008A1091" w:rsidP="008A1091">
            <w:pPr>
              <w:spacing w:after="0" w:line="240" w:lineRule="auto"/>
              <w:jc w:val="both"/>
              <w:rPr>
                <w:rFonts w:ascii="Times New Roman" w:eastAsia="Times New Roman" w:hAnsi="Times New Roman" w:cs="Times New Roman"/>
                <w:sz w:val="24"/>
                <w:szCs w:val="24"/>
                <w:lang w:eastAsia="ru-RU"/>
              </w:rPr>
            </w:pPr>
          </w:p>
        </w:tc>
        <w:tc>
          <w:tcPr>
            <w:tcW w:w="4531" w:type="dxa"/>
            <w:shd w:val="clear" w:color="auto" w:fill="auto"/>
          </w:tcPr>
          <w:p w:rsidR="008A1091" w:rsidRPr="008A1091" w:rsidRDefault="008A1091" w:rsidP="008A1091">
            <w:pPr>
              <w:spacing w:after="0" w:line="240" w:lineRule="auto"/>
              <w:jc w:val="both"/>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b/>
                <w:sz w:val="24"/>
                <w:szCs w:val="24"/>
                <w:lang w:val="en-US" w:eastAsia="ru-RU"/>
              </w:rPr>
              <w:t>Summary.</w:t>
            </w:r>
            <w:r w:rsidRPr="008A1091">
              <w:rPr>
                <w:rFonts w:ascii="Times New Roman" w:eastAsia="Times New Roman" w:hAnsi="Times New Roman" w:cs="Times New Roman"/>
                <w:sz w:val="24"/>
                <w:szCs w:val="24"/>
                <w:lang w:val="en-US" w:eastAsia="ru-RU"/>
              </w:rPr>
              <w:t xml:space="preserve"> The paper presents the material on the influence of dealcoolization process on higher alcohols, esters, fatty acids, aldehydes and ketones, as well as on physical-chemical and organoleptical indices of white wine Chardonnay.</w:t>
            </w:r>
          </w:p>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p>
        </w:tc>
      </w:tr>
      <w:tr w:rsidR="008A1091" w:rsidRPr="008A1091" w:rsidTr="00C93F91">
        <w:trPr>
          <w:jc w:val="center"/>
        </w:trPr>
        <w:tc>
          <w:tcPr>
            <w:tcW w:w="4530" w:type="dxa"/>
            <w:shd w:val="clear" w:color="auto" w:fill="auto"/>
          </w:tcPr>
          <w:p w:rsidR="008A1091" w:rsidRPr="008A1091" w:rsidRDefault="008A1091" w:rsidP="008A1091">
            <w:pPr>
              <w:spacing w:after="0" w:line="240" w:lineRule="auto"/>
              <w:jc w:val="both"/>
              <w:rPr>
                <w:rFonts w:ascii="Times New Roman" w:eastAsia="Times New Roman" w:hAnsi="Times New Roman" w:cs="Times New Roman"/>
                <w:sz w:val="24"/>
                <w:szCs w:val="24"/>
                <w:lang w:eastAsia="ru-RU"/>
              </w:rPr>
            </w:pPr>
            <w:r w:rsidRPr="008A1091">
              <w:rPr>
                <w:rFonts w:ascii="Times New Roman" w:eastAsia="Times New Roman" w:hAnsi="Times New Roman" w:cs="Times New Roman"/>
                <w:b/>
                <w:sz w:val="24"/>
                <w:szCs w:val="24"/>
                <w:lang w:eastAsia="ru-RU"/>
              </w:rPr>
              <w:t>Ключевые слова:</w:t>
            </w:r>
            <w:r w:rsidRPr="008A1091">
              <w:rPr>
                <w:rFonts w:ascii="Times New Roman" w:eastAsia="Times New Roman" w:hAnsi="Times New Roman" w:cs="Times New Roman"/>
                <w:sz w:val="24"/>
                <w:szCs w:val="24"/>
                <w:lang w:eastAsia="ru-RU"/>
              </w:rPr>
              <w:t xml:space="preserve"> белые вина, деалкоолизация, летучий комплекс, влияние, физико-химические показатели.</w:t>
            </w:r>
          </w:p>
        </w:tc>
        <w:tc>
          <w:tcPr>
            <w:tcW w:w="4531" w:type="dxa"/>
            <w:shd w:val="clear" w:color="auto" w:fill="auto"/>
          </w:tcPr>
          <w:p w:rsidR="008A1091" w:rsidRPr="008A1091" w:rsidRDefault="008A1091" w:rsidP="008A1091">
            <w:pPr>
              <w:spacing w:after="0" w:line="240" w:lineRule="auto"/>
              <w:jc w:val="both"/>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b/>
                <w:sz w:val="24"/>
                <w:szCs w:val="24"/>
                <w:lang w:val="en-US" w:eastAsia="ru-RU"/>
              </w:rPr>
              <w:t>Keywords:</w:t>
            </w:r>
            <w:r w:rsidRPr="008A1091">
              <w:rPr>
                <w:rFonts w:ascii="Times New Roman" w:eastAsia="Times New Roman" w:hAnsi="Times New Roman" w:cs="Times New Roman"/>
                <w:sz w:val="24"/>
                <w:szCs w:val="24"/>
                <w:lang w:val="en-US" w:eastAsia="ru-RU"/>
              </w:rPr>
              <w:t xml:space="preserve"> white wine, dealcoholization, volatile complex, influence, physical-chemical indices.</w:t>
            </w:r>
          </w:p>
        </w:tc>
      </w:tr>
    </w:tbl>
    <w:p w:rsidR="008A1091" w:rsidRPr="008A1091" w:rsidRDefault="008A1091" w:rsidP="008A1091">
      <w:pPr>
        <w:spacing w:before="240"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b/>
          <w:sz w:val="30"/>
          <w:szCs w:val="30"/>
          <w:lang w:eastAsia="ru-RU"/>
        </w:rPr>
        <w:t xml:space="preserve">Введение. </w:t>
      </w:r>
      <w:r w:rsidRPr="008A1091">
        <w:rPr>
          <w:rFonts w:ascii="Times New Roman" w:eastAsia="Times New Roman" w:hAnsi="Times New Roman" w:cs="Times New Roman"/>
          <w:sz w:val="30"/>
          <w:szCs w:val="30"/>
          <w:lang w:eastAsia="ru-RU"/>
        </w:rPr>
        <w:t xml:space="preserve">В последние десятилетия учеными разных стран было выявлено значительное повышение содержания спирта в белых сухих винах, что связано с глобальным потеплением, а также с использованием новых приемов в виноградарстве и виноделии [1, 2]. За последние годы в разных странах был зарегистрирован постепенный рост содержания спирта в сухих винах. Например, в калифорнийских винах содержание спирта увеличилось с 12,5% об. в 1978 г. до 14,8% об. в 2001 г., а в австралийских – с 12,4% об. в 1984 г. до 14% об. в 2004 г. [2]. В связи с этим, перед виноделами встала задача получения вин с пониженным содержанием спирта, которые пользуются растущим спросом среди потребителей [3]. Согласно резолюциям МОВВ </w:t>
      </w:r>
      <w:r w:rsidRPr="008A1091">
        <w:rPr>
          <w:rFonts w:ascii="Times New Roman" w:eastAsia="Times New Roman" w:hAnsi="Times New Roman" w:cs="Times New Roman"/>
          <w:sz w:val="30"/>
          <w:szCs w:val="30"/>
          <w:lang w:val="en-US" w:eastAsia="ru-RU"/>
        </w:rPr>
        <w:t>OIV</w:t>
      </w:r>
      <w:r w:rsidRPr="008A1091">
        <w:rPr>
          <w:rFonts w:ascii="Times New Roman" w:eastAsia="Times New Roman" w:hAnsi="Times New Roman" w:cs="Times New Roman"/>
          <w:sz w:val="30"/>
          <w:szCs w:val="30"/>
          <w:lang w:eastAsia="ru-RU"/>
        </w:rPr>
        <w:t>-</w:t>
      </w:r>
      <w:r w:rsidRPr="008A1091">
        <w:rPr>
          <w:rFonts w:ascii="Times New Roman" w:eastAsia="Times New Roman" w:hAnsi="Times New Roman" w:cs="Times New Roman"/>
          <w:sz w:val="30"/>
          <w:szCs w:val="30"/>
          <w:lang w:val="en-US" w:eastAsia="ru-RU"/>
        </w:rPr>
        <w:t>OENO</w:t>
      </w:r>
      <w:r w:rsidRPr="008A1091">
        <w:rPr>
          <w:rFonts w:ascii="Times New Roman" w:eastAsia="Times New Roman" w:hAnsi="Times New Roman" w:cs="Times New Roman"/>
          <w:sz w:val="30"/>
          <w:szCs w:val="30"/>
          <w:lang w:eastAsia="ru-RU"/>
        </w:rPr>
        <w:t xml:space="preserve"> 394</w:t>
      </w:r>
      <w:r w:rsidRPr="008A1091">
        <w:rPr>
          <w:rFonts w:ascii="Times New Roman" w:eastAsia="Times New Roman" w:hAnsi="Times New Roman" w:cs="Times New Roman"/>
          <w:sz w:val="30"/>
          <w:szCs w:val="30"/>
          <w:lang w:val="en-US" w:eastAsia="ru-RU"/>
        </w:rPr>
        <w:t>A</w:t>
      </w:r>
      <w:r w:rsidRPr="008A1091">
        <w:rPr>
          <w:rFonts w:ascii="Times New Roman" w:eastAsia="Times New Roman" w:hAnsi="Times New Roman" w:cs="Times New Roman"/>
          <w:sz w:val="30"/>
          <w:szCs w:val="30"/>
          <w:lang w:eastAsia="ru-RU"/>
        </w:rPr>
        <w:t xml:space="preserve">-2012 и </w:t>
      </w:r>
      <w:r w:rsidRPr="008A1091">
        <w:rPr>
          <w:rFonts w:ascii="Times New Roman" w:eastAsia="Times New Roman" w:hAnsi="Times New Roman" w:cs="Times New Roman"/>
          <w:sz w:val="30"/>
          <w:szCs w:val="30"/>
          <w:lang w:val="en-US" w:eastAsia="ru-RU"/>
        </w:rPr>
        <w:t>OIV</w:t>
      </w:r>
      <w:r w:rsidRPr="008A1091">
        <w:rPr>
          <w:rFonts w:ascii="Times New Roman" w:eastAsia="Times New Roman" w:hAnsi="Times New Roman" w:cs="Times New Roman"/>
          <w:sz w:val="30"/>
          <w:szCs w:val="30"/>
          <w:lang w:eastAsia="ru-RU"/>
        </w:rPr>
        <w:t>-</w:t>
      </w:r>
      <w:r w:rsidRPr="008A1091">
        <w:rPr>
          <w:rFonts w:ascii="Times New Roman" w:eastAsia="Times New Roman" w:hAnsi="Times New Roman" w:cs="Times New Roman"/>
          <w:sz w:val="30"/>
          <w:szCs w:val="30"/>
          <w:lang w:val="en-US" w:eastAsia="ru-RU"/>
        </w:rPr>
        <w:t>OENO</w:t>
      </w:r>
      <w:r w:rsidRPr="008A1091">
        <w:rPr>
          <w:rFonts w:ascii="Times New Roman" w:eastAsia="Times New Roman" w:hAnsi="Times New Roman" w:cs="Times New Roman"/>
          <w:sz w:val="30"/>
          <w:szCs w:val="30"/>
          <w:lang w:eastAsia="ru-RU"/>
        </w:rPr>
        <w:t xml:space="preserve"> 394</w:t>
      </w:r>
      <w:r w:rsidRPr="008A1091">
        <w:rPr>
          <w:rFonts w:ascii="Times New Roman" w:eastAsia="Times New Roman" w:hAnsi="Times New Roman" w:cs="Times New Roman"/>
          <w:sz w:val="30"/>
          <w:szCs w:val="30"/>
          <w:lang w:val="en-US" w:eastAsia="ru-RU"/>
        </w:rPr>
        <w:t>B</w:t>
      </w:r>
      <w:r w:rsidRPr="008A1091">
        <w:rPr>
          <w:rFonts w:ascii="Times New Roman" w:eastAsia="Times New Roman" w:hAnsi="Times New Roman" w:cs="Times New Roman"/>
          <w:sz w:val="30"/>
          <w:szCs w:val="30"/>
          <w:lang w:eastAsia="ru-RU"/>
        </w:rPr>
        <w:t xml:space="preserve">-2012, для удаления спирта из вин можно использовать следующие методы: частичное вакуумное испарение, мембранные техники и перегонку вин [4, 5]. В Республике Молдова метод вакуумной перегонки вин с целью снижения содержания спирта является наиболее распространённым, в связи с этим, в работе было изучено влияние степени удаления спирта из белых сухих вин на физико-химические </w:t>
      </w:r>
      <w:r w:rsidRPr="008A1091">
        <w:rPr>
          <w:rFonts w:ascii="Times New Roman" w:eastAsia="Times New Roman" w:hAnsi="Times New Roman" w:cs="Times New Roman"/>
          <w:sz w:val="30"/>
          <w:szCs w:val="30"/>
          <w:lang w:eastAsia="ru-RU"/>
        </w:rPr>
        <w:lastRenderedPageBreak/>
        <w:t xml:space="preserve">показатели и ароматический комплекс вин с пониженным содержанием спирта. </w:t>
      </w:r>
    </w:p>
    <w:p w:rsidR="008A1091" w:rsidRPr="008A1091" w:rsidRDefault="008A1091" w:rsidP="008A1091">
      <w:pPr>
        <w:spacing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b/>
          <w:sz w:val="30"/>
          <w:szCs w:val="30"/>
          <w:lang w:eastAsia="ru-RU"/>
        </w:rPr>
        <w:t xml:space="preserve">Объекты и методы исследований. </w:t>
      </w:r>
      <w:r w:rsidRPr="008A1091">
        <w:rPr>
          <w:rFonts w:ascii="Times New Roman" w:eastAsia="Times New Roman" w:hAnsi="Times New Roman" w:cs="Times New Roman"/>
          <w:sz w:val="30"/>
          <w:szCs w:val="30"/>
          <w:lang w:eastAsia="ru-RU"/>
        </w:rPr>
        <w:t>В качестве объектов для исследований было использовано белое сухое вино, выработанное из сорта винограда Шардоне, а также вина, полученные после процесса деалкоолизации с различным содержанием спирта. Процесс удаления спирта осуществлялся в лабораторных условиях методом вакуумной перегонки. Для определения основных физико-химических показателей состава вин в процессе деалкоолизации и в полученных деалкоолизированных винах были использованы современные и общепринятые в практике виноделия методы исследований. Летучий комплекс вин был определен методом газовой хроматографии с масс-спектрометрией.</w:t>
      </w:r>
    </w:p>
    <w:p w:rsidR="008A1091" w:rsidRPr="008A1091" w:rsidRDefault="008A1091" w:rsidP="008A1091">
      <w:pPr>
        <w:spacing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b/>
          <w:sz w:val="30"/>
          <w:szCs w:val="30"/>
          <w:lang w:eastAsia="ru-RU"/>
        </w:rPr>
        <w:t xml:space="preserve">Обсуждение результатов. </w:t>
      </w:r>
      <w:r w:rsidRPr="008A1091">
        <w:rPr>
          <w:rFonts w:ascii="Times New Roman" w:eastAsia="Times New Roman" w:hAnsi="Times New Roman" w:cs="Times New Roman"/>
          <w:sz w:val="30"/>
          <w:szCs w:val="30"/>
          <w:lang w:eastAsia="ru-RU"/>
        </w:rPr>
        <w:t>С целью изучения влияния процесса деалкоолизации на физико-химические и органолептические показатели белых вин методом вакуумной перегонки были получены экспериментальные образцы вин с пониженным содержанием спирта (табл. 1).</w:t>
      </w:r>
    </w:p>
    <w:p w:rsidR="008A1091" w:rsidRPr="008A1091" w:rsidRDefault="008A1091" w:rsidP="008A1091">
      <w:pPr>
        <w:spacing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 xml:space="preserve">Согласно полученным данным, представленным в таблице 1, наблюдается существенная зависимость между количеством удаленного спирта из белых сухих вин, физико-химическими и органолептическими показателями. С понижением содержания остаточного спирта в исследуемых образцах наблюдается значительное увеличение массовой концентрации титруемых кислот, которые варьируют в интервале от 6,5 г/дм³ до 11,2 г/дм³. Кроме того, наблюдается увеличение концентрации сахаров (от 1,3 г/дм³ до 5,1 г/дм³) и органических кислот. Полученные данные позволяют заключить, что в процессе деалкоолизации наблюдается увеличение концентраций нелетучего комплекса белых вин, за счет его концентрирования и возможного удаления воды из вин в процессе деалкоолизации.  </w:t>
      </w:r>
    </w:p>
    <w:p w:rsidR="008A1091" w:rsidRPr="008A1091" w:rsidRDefault="008A1091" w:rsidP="008A1091">
      <w:pPr>
        <w:tabs>
          <w:tab w:val="left" w:pos="2370"/>
        </w:tabs>
        <w:spacing w:before="120" w:after="0" w:line="240" w:lineRule="auto"/>
        <w:ind w:left="-142" w:firstLine="709"/>
        <w:jc w:val="right"/>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 xml:space="preserve">Таблица 1. </w:t>
      </w:r>
    </w:p>
    <w:p w:rsidR="008A1091" w:rsidRPr="008A1091" w:rsidRDefault="008A1091" w:rsidP="008A1091">
      <w:pPr>
        <w:tabs>
          <w:tab w:val="left" w:pos="2370"/>
        </w:tabs>
        <w:spacing w:after="120" w:line="240" w:lineRule="auto"/>
        <w:ind w:left="-142" w:firstLine="709"/>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Влияние степени деалкоолизации на физико-химические показатели белых сухих вин Шардоне</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6"/>
        <w:gridCol w:w="1227"/>
        <w:gridCol w:w="1226"/>
        <w:gridCol w:w="1226"/>
        <w:gridCol w:w="1024"/>
        <w:gridCol w:w="1024"/>
        <w:gridCol w:w="1026"/>
      </w:tblGrid>
      <w:tr w:rsidR="008A1091" w:rsidRPr="008A1091" w:rsidTr="00C93F91">
        <w:trPr>
          <w:trHeight w:val="794"/>
          <w:jc w:val="center"/>
        </w:trPr>
        <w:tc>
          <w:tcPr>
            <w:tcW w:w="1321"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bCs/>
                <w:sz w:val="24"/>
                <w:szCs w:val="24"/>
                <w:lang w:eastAsia="ru-RU"/>
              </w:rPr>
            </w:pPr>
            <w:r w:rsidRPr="008A1091">
              <w:rPr>
                <w:rFonts w:ascii="Times New Roman" w:eastAsia="Times New Roman" w:hAnsi="Times New Roman" w:cs="Times New Roman"/>
                <w:bCs/>
                <w:sz w:val="24"/>
                <w:szCs w:val="24"/>
                <w:lang w:eastAsia="ru-RU"/>
              </w:rPr>
              <w:t>Название</w:t>
            </w:r>
          </w:p>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bCs/>
                <w:sz w:val="24"/>
                <w:szCs w:val="24"/>
                <w:lang w:eastAsia="ru-RU"/>
              </w:rPr>
              <w:t xml:space="preserve"> параметра</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bCs/>
                <w:sz w:val="24"/>
                <w:szCs w:val="24"/>
                <w:lang w:eastAsia="ru-RU"/>
              </w:rPr>
              <w:t>Исходное вино</w:t>
            </w:r>
          </w:p>
        </w:tc>
        <w:tc>
          <w:tcPr>
            <w:tcW w:w="3011" w:type="pct"/>
            <w:gridSpan w:val="5"/>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bCs/>
                <w:sz w:val="24"/>
                <w:szCs w:val="24"/>
                <w:lang w:eastAsia="ru-RU"/>
              </w:rPr>
            </w:pPr>
            <w:r w:rsidRPr="008A1091">
              <w:rPr>
                <w:rFonts w:ascii="Times New Roman" w:eastAsia="Times New Roman" w:hAnsi="Times New Roman" w:cs="Times New Roman"/>
                <w:bCs/>
                <w:sz w:val="24"/>
                <w:szCs w:val="24"/>
                <w:lang w:eastAsia="ru-RU"/>
              </w:rPr>
              <w:t xml:space="preserve">Вина с пониженным содержанием спирта </w:t>
            </w:r>
          </w:p>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bCs/>
                <w:sz w:val="24"/>
                <w:szCs w:val="24"/>
                <w:lang w:eastAsia="ru-RU"/>
              </w:rPr>
              <w:t>(после деалкоолизации)</w:t>
            </w:r>
          </w:p>
        </w:tc>
      </w:tr>
      <w:tr w:rsidR="008A1091" w:rsidRPr="008A1091" w:rsidTr="00C93F91">
        <w:trPr>
          <w:trHeight w:val="300"/>
          <w:jc w:val="center"/>
        </w:trPr>
        <w:tc>
          <w:tcPr>
            <w:tcW w:w="1321"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Содержание этилового спирта, % об.</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13,5±</w:t>
            </w:r>
            <w:r w:rsidRPr="008A1091">
              <w:rPr>
                <w:rFonts w:ascii="Times New Roman" w:eastAsia="Times New Roman" w:hAnsi="Times New Roman" w:cs="Times New Roman"/>
                <w:sz w:val="24"/>
                <w:szCs w:val="24"/>
                <w:lang w:val="en-US" w:eastAsia="ru-RU"/>
              </w:rPr>
              <w:t>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36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11,3±</w:t>
            </w:r>
            <w:r w:rsidRPr="008A1091">
              <w:rPr>
                <w:rFonts w:ascii="Times New Roman" w:eastAsia="Times New Roman" w:hAnsi="Times New Roman" w:cs="Times New Roman"/>
                <w:sz w:val="24"/>
                <w:szCs w:val="24"/>
                <w:lang w:val="en-US" w:eastAsia="ru-RU"/>
              </w:rPr>
              <w:t>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36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10,1±</w:t>
            </w:r>
            <w:r w:rsidRPr="008A1091">
              <w:rPr>
                <w:rFonts w:ascii="Times New Roman" w:eastAsia="Times New Roman" w:hAnsi="Times New Roman" w:cs="Times New Roman"/>
                <w:sz w:val="24"/>
                <w:szCs w:val="24"/>
                <w:lang w:val="en-US" w:eastAsia="ru-RU"/>
              </w:rPr>
              <w:t>0,1</w:t>
            </w:r>
          </w:p>
        </w:tc>
        <w:tc>
          <w:tcPr>
            <w:tcW w:w="558" w:type="pct"/>
            <w:vAlign w:val="center"/>
          </w:tcPr>
          <w:p w:rsidR="008A1091" w:rsidRPr="008A1091" w:rsidRDefault="008A1091" w:rsidP="008A1091">
            <w:pPr>
              <w:spacing w:after="0" w:line="36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8,3±</w:t>
            </w:r>
            <w:r w:rsidRPr="008A1091">
              <w:rPr>
                <w:rFonts w:ascii="Times New Roman" w:eastAsia="Times New Roman" w:hAnsi="Times New Roman" w:cs="Times New Roman"/>
                <w:sz w:val="24"/>
                <w:szCs w:val="24"/>
                <w:lang w:val="en-US" w:eastAsia="ru-RU"/>
              </w:rPr>
              <w:t>0,1</w:t>
            </w:r>
          </w:p>
        </w:tc>
        <w:tc>
          <w:tcPr>
            <w:tcW w:w="558" w:type="pct"/>
            <w:vAlign w:val="center"/>
          </w:tcPr>
          <w:p w:rsidR="008A1091" w:rsidRPr="008A1091" w:rsidRDefault="008A1091" w:rsidP="008A1091">
            <w:pPr>
              <w:spacing w:after="0" w:line="36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7,9±</w:t>
            </w:r>
            <w:r w:rsidRPr="008A1091">
              <w:rPr>
                <w:rFonts w:ascii="Times New Roman" w:eastAsia="Times New Roman" w:hAnsi="Times New Roman" w:cs="Times New Roman"/>
                <w:sz w:val="24"/>
                <w:szCs w:val="24"/>
                <w:lang w:val="en-US" w:eastAsia="ru-RU"/>
              </w:rPr>
              <w:t>0,1</w:t>
            </w:r>
          </w:p>
        </w:tc>
        <w:tc>
          <w:tcPr>
            <w:tcW w:w="559" w:type="pct"/>
            <w:vAlign w:val="center"/>
          </w:tcPr>
          <w:p w:rsidR="008A1091" w:rsidRPr="008A1091" w:rsidRDefault="008A1091" w:rsidP="008A1091">
            <w:pPr>
              <w:spacing w:after="0" w:line="36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4,1±</w:t>
            </w:r>
            <w:r w:rsidRPr="008A1091">
              <w:rPr>
                <w:rFonts w:ascii="Times New Roman" w:eastAsia="Times New Roman" w:hAnsi="Times New Roman" w:cs="Times New Roman"/>
                <w:sz w:val="24"/>
                <w:szCs w:val="24"/>
                <w:lang w:val="en-US" w:eastAsia="ru-RU"/>
              </w:rPr>
              <w:t>0,1</w:t>
            </w:r>
          </w:p>
        </w:tc>
      </w:tr>
      <w:tr w:rsidR="008A1091" w:rsidRPr="008A1091" w:rsidTr="00C93F91">
        <w:trPr>
          <w:trHeight w:val="300"/>
          <w:jc w:val="center"/>
        </w:trPr>
        <w:tc>
          <w:tcPr>
            <w:tcW w:w="1321"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Массовые концентрации</w:t>
            </w:r>
            <w:r w:rsidRPr="008A1091">
              <w:rPr>
                <w:rFonts w:ascii="Times New Roman" w:eastAsia="Times New Roman" w:hAnsi="Times New Roman" w:cs="Times New Roman"/>
                <w:sz w:val="24"/>
                <w:szCs w:val="24"/>
                <w:lang w:val="en-US" w:eastAsia="ru-RU"/>
              </w:rPr>
              <w:t xml:space="preserve">: </w:t>
            </w:r>
            <w:r w:rsidRPr="008A1091">
              <w:rPr>
                <w:rFonts w:ascii="Times New Roman" w:eastAsia="Times New Roman" w:hAnsi="Times New Roman" w:cs="Times New Roman"/>
                <w:sz w:val="24"/>
                <w:szCs w:val="24"/>
                <w:lang w:eastAsia="ru-RU"/>
              </w:rPr>
              <w:t>г</w:t>
            </w: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дм</w:t>
            </w:r>
            <w:r w:rsidRPr="008A1091">
              <w:rPr>
                <w:rFonts w:ascii="Times New Roman" w:eastAsia="Times New Roman" w:hAnsi="Times New Roman" w:cs="Times New Roman"/>
                <w:sz w:val="24"/>
                <w:szCs w:val="24"/>
                <w:lang w:val="en-US" w:eastAsia="ru-RU"/>
              </w:rPr>
              <w:t>³</w:t>
            </w:r>
          </w:p>
        </w:tc>
        <w:tc>
          <w:tcPr>
            <w:tcW w:w="3679" w:type="pct"/>
            <w:gridSpan w:val="6"/>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p>
        </w:tc>
      </w:tr>
      <w:tr w:rsidR="008A1091" w:rsidRPr="008A1091" w:rsidTr="00C93F91">
        <w:trPr>
          <w:trHeight w:val="315"/>
          <w:jc w:val="center"/>
        </w:trPr>
        <w:tc>
          <w:tcPr>
            <w:tcW w:w="1321"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титруемых кислот</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6</w:t>
            </w:r>
            <w:r w:rsidRPr="008A1091">
              <w:rPr>
                <w:rFonts w:ascii="Times New Roman" w:eastAsia="Times New Roman" w:hAnsi="Times New Roman" w:cs="Times New Roman"/>
                <w:sz w:val="24"/>
                <w:szCs w:val="24"/>
                <w:lang w:val="en-US" w:eastAsia="ru-RU"/>
              </w:rPr>
              <w:t>,5</w:t>
            </w:r>
            <w:r w:rsidRPr="008A1091">
              <w:rPr>
                <w:rFonts w:ascii="Times New Roman" w:eastAsia="Times New Roman" w:hAnsi="Times New Roman" w:cs="Times New Roman"/>
                <w:sz w:val="24"/>
                <w:szCs w:val="24"/>
                <w:lang w:eastAsia="ru-RU"/>
              </w:rPr>
              <w:t>±</w:t>
            </w:r>
            <w:r w:rsidRPr="008A1091">
              <w:rPr>
                <w:rFonts w:ascii="Times New Roman" w:eastAsia="Times New Roman" w:hAnsi="Times New Roman" w:cs="Times New Roman"/>
                <w:sz w:val="24"/>
                <w:szCs w:val="24"/>
                <w:lang w:val="en-US" w:eastAsia="ru-RU"/>
              </w:rPr>
              <w:t>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6,</w:t>
            </w:r>
            <w:r w:rsidRPr="008A1091">
              <w:rPr>
                <w:rFonts w:ascii="Times New Roman" w:eastAsia="Times New Roman" w:hAnsi="Times New Roman" w:cs="Times New Roman"/>
                <w:sz w:val="24"/>
                <w:szCs w:val="24"/>
                <w:lang w:val="en-US" w:eastAsia="ru-RU"/>
              </w:rPr>
              <w:t>8±0,09</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7,0±0,12</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7,9±0,1</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9,</w:t>
            </w:r>
            <w:r w:rsidRPr="008A1091">
              <w:rPr>
                <w:rFonts w:ascii="Times New Roman" w:eastAsia="Times New Roman" w:hAnsi="Times New Roman" w:cs="Times New Roman"/>
                <w:sz w:val="24"/>
                <w:szCs w:val="24"/>
                <w:lang w:val="en-US" w:eastAsia="ru-RU"/>
              </w:rPr>
              <w:t>2±0,1</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11,</w:t>
            </w:r>
            <w:r w:rsidRPr="008A1091">
              <w:rPr>
                <w:rFonts w:ascii="Times New Roman" w:eastAsia="Times New Roman" w:hAnsi="Times New Roman" w:cs="Times New Roman"/>
                <w:sz w:val="24"/>
                <w:szCs w:val="24"/>
                <w:lang w:val="en-US" w:eastAsia="ru-RU"/>
              </w:rPr>
              <w:t>2±0,09</w:t>
            </w:r>
          </w:p>
        </w:tc>
      </w:tr>
      <w:tr w:rsidR="008A1091" w:rsidRPr="008A1091" w:rsidTr="00C93F91">
        <w:trPr>
          <w:trHeight w:val="315"/>
          <w:jc w:val="center"/>
        </w:trPr>
        <w:tc>
          <w:tcPr>
            <w:tcW w:w="1321" w:type="pct"/>
            <w:shd w:val="clear" w:color="auto" w:fill="auto"/>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летучих кислот</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0,42</w:t>
            </w:r>
            <w:r w:rsidRPr="008A1091">
              <w:rPr>
                <w:rFonts w:ascii="Times New Roman" w:eastAsia="Times New Roman" w:hAnsi="Times New Roman" w:cs="Times New Roman"/>
                <w:sz w:val="24"/>
                <w:szCs w:val="24"/>
                <w:lang w:eastAsia="ru-RU"/>
              </w:rPr>
              <w:t>±</w:t>
            </w:r>
            <w:r w:rsidRPr="008A1091">
              <w:rPr>
                <w:rFonts w:ascii="Times New Roman" w:eastAsia="Times New Roman" w:hAnsi="Times New Roman" w:cs="Times New Roman"/>
                <w:sz w:val="24"/>
                <w:szCs w:val="24"/>
                <w:lang w:val="en-US" w:eastAsia="ru-RU"/>
              </w:rPr>
              <w:t>0,03</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0,42</w:t>
            </w:r>
            <w:r w:rsidRPr="008A1091">
              <w:rPr>
                <w:rFonts w:ascii="Times New Roman" w:eastAsia="Times New Roman" w:hAnsi="Times New Roman" w:cs="Times New Roman"/>
                <w:sz w:val="24"/>
                <w:szCs w:val="24"/>
                <w:lang w:val="en-US" w:eastAsia="ru-RU"/>
              </w:rPr>
              <w:t>±0,03</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0,3</w:t>
            </w:r>
            <w:r w:rsidRPr="008A1091">
              <w:rPr>
                <w:rFonts w:ascii="Times New Roman" w:eastAsia="Times New Roman" w:hAnsi="Times New Roman" w:cs="Times New Roman"/>
                <w:sz w:val="24"/>
                <w:szCs w:val="24"/>
                <w:lang w:val="en-US" w:eastAsia="ru-RU"/>
              </w:rPr>
              <w:t>8±0,04</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0,37</w:t>
            </w:r>
            <w:r w:rsidRPr="008A1091">
              <w:rPr>
                <w:rFonts w:ascii="Times New Roman" w:eastAsia="Times New Roman" w:hAnsi="Times New Roman" w:cs="Times New Roman"/>
                <w:sz w:val="24"/>
                <w:szCs w:val="24"/>
                <w:lang w:val="en-US" w:eastAsia="ru-RU"/>
              </w:rPr>
              <w:t>±0,02</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0,37</w:t>
            </w:r>
            <w:r w:rsidRPr="008A1091">
              <w:rPr>
                <w:rFonts w:ascii="Times New Roman" w:eastAsia="Times New Roman" w:hAnsi="Times New Roman" w:cs="Times New Roman"/>
                <w:sz w:val="24"/>
                <w:szCs w:val="24"/>
                <w:lang w:val="en-US" w:eastAsia="ru-RU"/>
              </w:rPr>
              <w:t>±0,03</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33±0,04</w:t>
            </w:r>
          </w:p>
        </w:tc>
      </w:tr>
      <w:tr w:rsidR="008A1091" w:rsidRPr="008A1091" w:rsidTr="00C93F91">
        <w:trPr>
          <w:trHeight w:val="315"/>
          <w:jc w:val="center"/>
        </w:trPr>
        <w:tc>
          <w:tcPr>
            <w:tcW w:w="1321" w:type="pct"/>
            <w:shd w:val="clear" w:color="auto" w:fill="auto"/>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lastRenderedPageBreak/>
              <w:t>-</w:t>
            </w:r>
            <w:r w:rsidRPr="008A1091">
              <w:rPr>
                <w:rFonts w:ascii="Times New Roman" w:eastAsia="Times New Roman" w:hAnsi="Times New Roman" w:cs="Times New Roman"/>
                <w:sz w:val="24"/>
                <w:szCs w:val="24"/>
                <w:lang w:eastAsia="ru-RU"/>
              </w:rPr>
              <w:t>сахаров</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1,3±0,5</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1,6</w:t>
            </w:r>
            <w:r w:rsidRPr="008A1091">
              <w:rPr>
                <w:rFonts w:ascii="Times New Roman" w:eastAsia="Times New Roman" w:hAnsi="Times New Roman" w:cs="Times New Roman"/>
                <w:sz w:val="24"/>
                <w:szCs w:val="24"/>
                <w:lang w:val="en-US" w:eastAsia="ru-RU"/>
              </w:rPr>
              <w:t>±0,5</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2,0±0,5</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2,5</w:t>
            </w:r>
            <w:r w:rsidRPr="008A1091">
              <w:rPr>
                <w:rFonts w:ascii="Times New Roman" w:eastAsia="Times New Roman" w:hAnsi="Times New Roman" w:cs="Times New Roman"/>
                <w:sz w:val="24"/>
                <w:szCs w:val="24"/>
                <w:lang w:val="en-US" w:eastAsia="ru-RU"/>
              </w:rPr>
              <w:t>±0,5</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2,6</w:t>
            </w:r>
            <w:r w:rsidRPr="008A1091">
              <w:rPr>
                <w:rFonts w:ascii="Times New Roman" w:eastAsia="Times New Roman" w:hAnsi="Times New Roman" w:cs="Times New Roman"/>
                <w:sz w:val="24"/>
                <w:szCs w:val="24"/>
                <w:lang w:val="en-US" w:eastAsia="ru-RU"/>
              </w:rPr>
              <w:t>±0,5</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5,1</w:t>
            </w:r>
            <w:r w:rsidRPr="008A1091">
              <w:rPr>
                <w:rFonts w:ascii="Times New Roman" w:eastAsia="Times New Roman" w:hAnsi="Times New Roman" w:cs="Times New Roman"/>
                <w:sz w:val="24"/>
                <w:szCs w:val="24"/>
                <w:lang w:val="en-US" w:eastAsia="ru-RU"/>
              </w:rPr>
              <w:t>±0,5</w:t>
            </w:r>
          </w:p>
        </w:tc>
      </w:tr>
      <w:tr w:rsidR="008A1091" w:rsidRPr="008A1091" w:rsidTr="00C93F91">
        <w:trPr>
          <w:trHeight w:val="315"/>
          <w:jc w:val="center"/>
        </w:trPr>
        <w:tc>
          <w:tcPr>
            <w:tcW w:w="1321" w:type="pct"/>
            <w:shd w:val="clear" w:color="auto" w:fill="auto"/>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винной кислоты</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3,4±0,</w:t>
            </w:r>
            <w:r w:rsidRPr="008A1091">
              <w:rPr>
                <w:rFonts w:ascii="Times New Roman" w:eastAsia="Times New Roman" w:hAnsi="Times New Roman" w:cs="Times New Roman"/>
                <w:sz w:val="24"/>
                <w:szCs w:val="24"/>
                <w:lang w:val="en-US" w:eastAsia="ru-RU"/>
              </w:rPr>
              <w:t>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3,5±0,</w:t>
            </w:r>
            <w:r w:rsidRPr="008A1091">
              <w:rPr>
                <w:rFonts w:ascii="Times New Roman" w:eastAsia="Times New Roman" w:hAnsi="Times New Roman" w:cs="Times New Roman"/>
                <w:sz w:val="24"/>
                <w:szCs w:val="24"/>
                <w:lang w:val="en-US" w:eastAsia="ru-RU"/>
              </w:rPr>
              <w:t>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ro-RO" w:eastAsia="ru-RU"/>
              </w:rPr>
            </w:pPr>
            <w:r w:rsidRPr="008A1091">
              <w:rPr>
                <w:rFonts w:ascii="Times New Roman" w:eastAsia="Times New Roman" w:hAnsi="Times New Roman" w:cs="Times New Roman"/>
                <w:sz w:val="24"/>
                <w:szCs w:val="24"/>
                <w:lang w:eastAsia="ru-RU"/>
              </w:rPr>
              <w:t>3,</w:t>
            </w:r>
            <w:r w:rsidRPr="008A1091">
              <w:rPr>
                <w:rFonts w:ascii="Times New Roman" w:eastAsia="Times New Roman" w:hAnsi="Times New Roman" w:cs="Times New Roman"/>
                <w:sz w:val="24"/>
                <w:szCs w:val="24"/>
                <w:lang w:val="en-US" w:eastAsia="ru-RU"/>
              </w:rPr>
              <w:t>6</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1</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4,</w:t>
            </w:r>
            <w:r w:rsidRPr="008A1091">
              <w:rPr>
                <w:rFonts w:ascii="Times New Roman" w:eastAsia="Times New Roman" w:hAnsi="Times New Roman" w:cs="Times New Roman"/>
                <w:sz w:val="24"/>
                <w:szCs w:val="24"/>
                <w:lang w:val="en-US" w:eastAsia="ru-RU"/>
              </w:rPr>
              <w:t>1</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2</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4,</w:t>
            </w:r>
            <w:r w:rsidRPr="008A1091">
              <w:rPr>
                <w:rFonts w:ascii="Times New Roman" w:eastAsia="Times New Roman" w:hAnsi="Times New Roman" w:cs="Times New Roman"/>
                <w:sz w:val="24"/>
                <w:szCs w:val="24"/>
                <w:lang w:val="en-US" w:eastAsia="ru-RU"/>
              </w:rPr>
              <w:t>5</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4</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5,</w:t>
            </w:r>
            <w:r w:rsidRPr="008A1091">
              <w:rPr>
                <w:rFonts w:ascii="Times New Roman" w:eastAsia="Times New Roman" w:hAnsi="Times New Roman" w:cs="Times New Roman"/>
                <w:sz w:val="24"/>
                <w:szCs w:val="24"/>
                <w:lang w:val="en-US" w:eastAsia="ru-RU"/>
              </w:rPr>
              <w:t>3</w:t>
            </w:r>
            <w:r w:rsidRPr="008A1091">
              <w:rPr>
                <w:rFonts w:ascii="Times New Roman" w:eastAsia="Times New Roman" w:hAnsi="Times New Roman" w:cs="Times New Roman"/>
                <w:sz w:val="24"/>
                <w:szCs w:val="24"/>
                <w:lang w:eastAsia="ru-RU"/>
              </w:rPr>
              <w:t>±</w:t>
            </w:r>
            <w:r w:rsidRPr="008A1091">
              <w:rPr>
                <w:rFonts w:ascii="Times New Roman" w:eastAsia="Times New Roman" w:hAnsi="Times New Roman" w:cs="Times New Roman"/>
                <w:sz w:val="24"/>
                <w:szCs w:val="24"/>
                <w:lang w:val="en-US" w:eastAsia="ru-RU"/>
              </w:rPr>
              <w:t>0,1</w:t>
            </w:r>
          </w:p>
        </w:tc>
      </w:tr>
      <w:tr w:rsidR="008A1091" w:rsidRPr="008A1091" w:rsidTr="00C93F91">
        <w:trPr>
          <w:trHeight w:val="315"/>
          <w:jc w:val="center"/>
        </w:trPr>
        <w:tc>
          <w:tcPr>
            <w:tcW w:w="1321" w:type="pct"/>
            <w:shd w:val="clear" w:color="auto" w:fill="auto"/>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яблочной кислоты</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2,4±0,4</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2,</w:t>
            </w:r>
            <w:r w:rsidRPr="008A1091">
              <w:rPr>
                <w:rFonts w:ascii="Times New Roman" w:eastAsia="Times New Roman" w:hAnsi="Times New Roman" w:cs="Times New Roman"/>
                <w:sz w:val="24"/>
                <w:szCs w:val="24"/>
                <w:lang w:val="en-US" w:eastAsia="ru-RU"/>
              </w:rPr>
              <w:t>5</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2,</w:t>
            </w:r>
            <w:r w:rsidRPr="008A1091">
              <w:rPr>
                <w:rFonts w:ascii="Times New Roman" w:eastAsia="Times New Roman" w:hAnsi="Times New Roman" w:cs="Times New Roman"/>
                <w:sz w:val="24"/>
                <w:szCs w:val="24"/>
                <w:lang w:val="en-US" w:eastAsia="ru-RU"/>
              </w:rPr>
              <w:t>5</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2</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2,</w:t>
            </w:r>
            <w:r w:rsidRPr="008A1091">
              <w:rPr>
                <w:rFonts w:ascii="Times New Roman" w:eastAsia="Times New Roman" w:hAnsi="Times New Roman" w:cs="Times New Roman"/>
                <w:sz w:val="24"/>
                <w:szCs w:val="24"/>
                <w:lang w:val="en-US" w:eastAsia="ru-RU"/>
              </w:rPr>
              <w:t>8</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3</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3,</w:t>
            </w:r>
            <w:r w:rsidRPr="008A1091">
              <w:rPr>
                <w:rFonts w:ascii="Times New Roman" w:eastAsia="Times New Roman" w:hAnsi="Times New Roman" w:cs="Times New Roman"/>
                <w:sz w:val="24"/>
                <w:szCs w:val="24"/>
                <w:lang w:val="en-US" w:eastAsia="ru-RU"/>
              </w:rPr>
              <w:t>2</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1</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4,</w:t>
            </w:r>
            <w:r w:rsidRPr="008A1091">
              <w:rPr>
                <w:rFonts w:ascii="Times New Roman" w:eastAsia="Times New Roman" w:hAnsi="Times New Roman" w:cs="Times New Roman"/>
                <w:sz w:val="24"/>
                <w:szCs w:val="24"/>
                <w:lang w:val="en-US" w:eastAsia="ru-RU"/>
              </w:rPr>
              <w:t>3</w:t>
            </w: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1</w:t>
            </w:r>
          </w:p>
        </w:tc>
      </w:tr>
      <w:tr w:rsidR="008A1091" w:rsidRPr="008A1091" w:rsidTr="00C93F91">
        <w:trPr>
          <w:trHeight w:val="315"/>
          <w:jc w:val="center"/>
        </w:trPr>
        <w:tc>
          <w:tcPr>
            <w:tcW w:w="1321" w:type="pct"/>
            <w:shd w:val="clear" w:color="auto" w:fill="auto"/>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молочной кислоты</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0,1</w:t>
            </w:r>
            <w:r w:rsidRPr="008A1091">
              <w:rPr>
                <w:rFonts w:ascii="Times New Roman" w:eastAsia="Times New Roman" w:hAnsi="Times New Roman" w:cs="Times New Roman"/>
                <w:sz w:val="24"/>
                <w:szCs w:val="24"/>
                <w:lang w:eastAsia="ru-RU"/>
              </w:rPr>
              <w:t>±0,03</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0,1±0,0</w:t>
            </w:r>
            <w:r w:rsidRPr="008A1091">
              <w:rPr>
                <w:rFonts w:ascii="Times New Roman" w:eastAsia="Times New Roman" w:hAnsi="Times New Roman" w:cs="Times New Roman"/>
                <w:sz w:val="24"/>
                <w:szCs w:val="24"/>
                <w:lang w:val="en-US" w:eastAsia="ru-RU"/>
              </w:rPr>
              <w:t>2</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2</w:t>
            </w:r>
            <w:r w:rsidRPr="008A1091">
              <w:rPr>
                <w:rFonts w:ascii="Times New Roman" w:eastAsia="Times New Roman" w:hAnsi="Times New Roman" w:cs="Times New Roman"/>
                <w:sz w:val="24"/>
                <w:szCs w:val="24"/>
                <w:lang w:eastAsia="ru-RU"/>
              </w:rPr>
              <w:t>±0,03</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3</w:t>
            </w:r>
            <w:r w:rsidRPr="008A1091">
              <w:rPr>
                <w:rFonts w:ascii="Times New Roman" w:eastAsia="Times New Roman" w:hAnsi="Times New Roman" w:cs="Times New Roman"/>
                <w:sz w:val="24"/>
                <w:szCs w:val="24"/>
                <w:lang w:eastAsia="ru-RU"/>
              </w:rPr>
              <w:t>±0,03</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4</w:t>
            </w:r>
            <w:r w:rsidRPr="008A1091">
              <w:rPr>
                <w:rFonts w:ascii="Times New Roman" w:eastAsia="Times New Roman" w:hAnsi="Times New Roman" w:cs="Times New Roman"/>
                <w:sz w:val="24"/>
                <w:szCs w:val="24"/>
                <w:lang w:eastAsia="ru-RU"/>
              </w:rPr>
              <w:t>±0,04</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6</w:t>
            </w:r>
            <w:r w:rsidRPr="008A1091">
              <w:rPr>
                <w:rFonts w:ascii="Times New Roman" w:eastAsia="Times New Roman" w:hAnsi="Times New Roman" w:cs="Times New Roman"/>
                <w:sz w:val="24"/>
                <w:szCs w:val="24"/>
                <w:lang w:eastAsia="ru-RU"/>
              </w:rPr>
              <w:t>±0,0</w:t>
            </w:r>
            <w:r w:rsidRPr="008A1091">
              <w:rPr>
                <w:rFonts w:ascii="Times New Roman" w:eastAsia="Times New Roman" w:hAnsi="Times New Roman" w:cs="Times New Roman"/>
                <w:sz w:val="24"/>
                <w:szCs w:val="24"/>
                <w:lang w:val="en-US" w:eastAsia="ru-RU"/>
              </w:rPr>
              <w:t>2</w:t>
            </w:r>
          </w:p>
        </w:tc>
      </w:tr>
      <w:tr w:rsidR="008A1091" w:rsidRPr="008A1091" w:rsidTr="00C93F91">
        <w:trPr>
          <w:trHeight w:val="422"/>
          <w:jc w:val="center"/>
        </w:trPr>
        <w:tc>
          <w:tcPr>
            <w:tcW w:w="1321" w:type="pct"/>
            <w:shd w:val="clear" w:color="auto" w:fill="auto"/>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val="en-US" w:eastAsia="ru-RU"/>
              </w:rPr>
              <w:t>-</w:t>
            </w:r>
            <w:r w:rsidRPr="008A1091">
              <w:rPr>
                <w:rFonts w:ascii="Times New Roman" w:eastAsia="Times New Roman" w:hAnsi="Times New Roman" w:cs="Times New Roman"/>
                <w:sz w:val="24"/>
                <w:szCs w:val="24"/>
                <w:lang w:eastAsia="ru-RU"/>
              </w:rPr>
              <w:t>лимонной кислоты</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0,</w:t>
            </w:r>
            <w:r w:rsidRPr="008A1091">
              <w:rPr>
                <w:rFonts w:ascii="Times New Roman" w:eastAsia="Times New Roman" w:hAnsi="Times New Roman" w:cs="Times New Roman"/>
                <w:sz w:val="24"/>
                <w:szCs w:val="24"/>
                <w:lang w:eastAsia="ru-RU"/>
              </w:rPr>
              <w:t>2±0,0</w:t>
            </w:r>
            <w:r w:rsidRPr="008A1091">
              <w:rPr>
                <w:rFonts w:ascii="Times New Roman" w:eastAsia="Times New Roman" w:hAnsi="Times New Roman" w:cs="Times New Roman"/>
                <w:sz w:val="24"/>
                <w:szCs w:val="24"/>
                <w:lang w:val="en-US" w:eastAsia="ru-RU"/>
              </w:rPr>
              <w:t>4</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3</w:t>
            </w:r>
            <w:r w:rsidRPr="008A1091">
              <w:rPr>
                <w:rFonts w:ascii="Times New Roman" w:eastAsia="Times New Roman" w:hAnsi="Times New Roman" w:cs="Times New Roman"/>
                <w:sz w:val="24"/>
                <w:szCs w:val="24"/>
                <w:lang w:eastAsia="ru-RU"/>
              </w:rPr>
              <w:t>±0,05</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0,3±0,0</w:t>
            </w:r>
            <w:r w:rsidRPr="008A1091">
              <w:rPr>
                <w:rFonts w:ascii="Times New Roman" w:eastAsia="Times New Roman" w:hAnsi="Times New Roman" w:cs="Times New Roman"/>
                <w:sz w:val="24"/>
                <w:szCs w:val="24"/>
                <w:lang w:val="en-US" w:eastAsia="ru-RU"/>
              </w:rPr>
              <w:t>5</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w:t>
            </w:r>
            <w:r w:rsidRPr="008A1091">
              <w:rPr>
                <w:rFonts w:ascii="Times New Roman" w:eastAsia="Times New Roman" w:hAnsi="Times New Roman" w:cs="Times New Roman"/>
                <w:sz w:val="24"/>
                <w:szCs w:val="24"/>
                <w:lang w:val="en-US" w:eastAsia="ru-RU"/>
              </w:rPr>
              <w:t>4</w:t>
            </w:r>
            <w:r w:rsidRPr="008A1091">
              <w:rPr>
                <w:rFonts w:ascii="Times New Roman" w:eastAsia="Times New Roman" w:hAnsi="Times New Roman" w:cs="Times New Roman"/>
                <w:sz w:val="24"/>
                <w:szCs w:val="24"/>
                <w:lang w:eastAsia="ru-RU"/>
              </w:rPr>
              <w:t>±0,0</w:t>
            </w:r>
            <w:r w:rsidRPr="008A1091">
              <w:rPr>
                <w:rFonts w:ascii="Times New Roman" w:eastAsia="Times New Roman" w:hAnsi="Times New Roman" w:cs="Times New Roman"/>
                <w:sz w:val="24"/>
                <w:szCs w:val="24"/>
                <w:lang w:val="en-US" w:eastAsia="ru-RU"/>
              </w:rPr>
              <w:t>6</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0,5±0,0</w:t>
            </w:r>
            <w:r w:rsidRPr="008A1091">
              <w:rPr>
                <w:rFonts w:ascii="Times New Roman" w:eastAsia="Times New Roman" w:hAnsi="Times New Roman" w:cs="Times New Roman"/>
                <w:sz w:val="24"/>
                <w:szCs w:val="24"/>
                <w:lang w:val="en-US" w:eastAsia="ru-RU"/>
              </w:rPr>
              <w:t>3</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eastAsia="ru-RU"/>
              </w:rPr>
              <w:t>0,6±0,</w:t>
            </w:r>
            <w:r w:rsidRPr="008A1091">
              <w:rPr>
                <w:rFonts w:ascii="Times New Roman" w:eastAsia="Times New Roman" w:hAnsi="Times New Roman" w:cs="Times New Roman"/>
                <w:sz w:val="24"/>
                <w:szCs w:val="24"/>
                <w:lang w:val="en-US" w:eastAsia="ru-RU"/>
              </w:rPr>
              <w:t>07</w:t>
            </w:r>
          </w:p>
        </w:tc>
      </w:tr>
      <w:tr w:rsidR="008A1091" w:rsidRPr="008A1091" w:rsidTr="00C93F91">
        <w:trPr>
          <w:trHeight w:val="315"/>
          <w:jc w:val="center"/>
        </w:trPr>
        <w:tc>
          <w:tcPr>
            <w:tcW w:w="1321"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рН</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3,07±</w:t>
            </w:r>
            <w:r w:rsidRPr="008A1091">
              <w:rPr>
                <w:rFonts w:ascii="Times New Roman" w:eastAsia="Times New Roman" w:hAnsi="Times New Roman" w:cs="Times New Roman"/>
                <w:sz w:val="24"/>
                <w:szCs w:val="24"/>
                <w:lang w:val="en-US" w:eastAsia="ru-RU"/>
              </w:rPr>
              <w:t>0,01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lang w:eastAsia="ru-RU"/>
              </w:rPr>
              <w:t>3,06±</w:t>
            </w:r>
            <w:r w:rsidRPr="008A1091">
              <w:rPr>
                <w:rFonts w:ascii="Times New Roman" w:eastAsia="Times New Roman" w:hAnsi="Times New Roman" w:cs="Times New Roman"/>
                <w:lang w:val="en-US" w:eastAsia="ru-RU"/>
              </w:rPr>
              <w:t>0,01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lang w:eastAsia="ru-RU"/>
              </w:rPr>
              <w:t>3,0</w:t>
            </w:r>
            <w:r w:rsidRPr="008A1091">
              <w:rPr>
                <w:rFonts w:ascii="Times New Roman" w:eastAsia="Times New Roman" w:hAnsi="Times New Roman" w:cs="Times New Roman"/>
                <w:lang w:val="en-US" w:eastAsia="ru-RU"/>
              </w:rPr>
              <w:t>5</w:t>
            </w:r>
            <w:r w:rsidRPr="008A1091">
              <w:rPr>
                <w:rFonts w:ascii="Times New Roman" w:eastAsia="Times New Roman" w:hAnsi="Times New Roman" w:cs="Times New Roman"/>
                <w:lang w:eastAsia="ru-RU"/>
              </w:rPr>
              <w:t>±</w:t>
            </w:r>
            <w:r w:rsidRPr="008A1091">
              <w:rPr>
                <w:rFonts w:ascii="Times New Roman" w:eastAsia="Times New Roman" w:hAnsi="Times New Roman" w:cs="Times New Roman"/>
                <w:lang w:val="en-US" w:eastAsia="ru-RU"/>
              </w:rPr>
              <w:t>0,01</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lang w:eastAsia="ru-RU"/>
              </w:rPr>
              <w:t>3,0</w:t>
            </w:r>
            <w:r w:rsidRPr="008A1091">
              <w:rPr>
                <w:rFonts w:ascii="Times New Roman" w:eastAsia="Times New Roman" w:hAnsi="Times New Roman" w:cs="Times New Roman"/>
                <w:lang w:val="en-US" w:eastAsia="ru-RU"/>
              </w:rPr>
              <w:t>5</w:t>
            </w:r>
            <w:r w:rsidRPr="008A1091">
              <w:rPr>
                <w:rFonts w:ascii="Times New Roman" w:eastAsia="Times New Roman" w:hAnsi="Times New Roman" w:cs="Times New Roman"/>
                <w:lang w:eastAsia="ru-RU"/>
              </w:rPr>
              <w:t>±</w:t>
            </w:r>
            <w:r w:rsidRPr="008A1091">
              <w:rPr>
                <w:rFonts w:ascii="Times New Roman" w:eastAsia="Times New Roman" w:hAnsi="Times New Roman" w:cs="Times New Roman"/>
                <w:lang w:val="en-US" w:eastAsia="ru-RU"/>
              </w:rPr>
              <w:t>0,01</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lang w:eastAsia="ru-RU"/>
              </w:rPr>
              <w:t>3,00±</w:t>
            </w:r>
            <w:r w:rsidRPr="008A1091">
              <w:rPr>
                <w:rFonts w:ascii="Times New Roman" w:eastAsia="Times New Roman" w:hAnsi="Times New Roman" w:cs="Times New Roman"/>
                <w:lang w:val="en-US" w:eastAsia="ru-RU"/>
              </w:rPr>
              <w:t>0,01</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lang w:eastAsia="ru-RU"/>
              </w:rPr>
              <w:t>2,9±</w:t>
            </w:r>
            <w:r w:rsidRPr="008A1091">
              <w:rPr>
                <w:rFonts w:ascii="Times New Roman" w:eastAsia="Times New Roman" w:hAnsi="Times New Roman" w:cs="Times New Roman"/>
                <w:lang w:val="en-US" w:eastAsia="ru-RU"/>
              </w:rPr>
              <w:t>0,01</w:t>
            </w:r>
          </w:p>
        </w:tc>
      </w:tr>
      <w:tr w:rsidR="008A1091" w:rsidRPr="008A1091" w:rsidTr="00C93F91">
        <w:trPr>
          <w:trHeight w:val="315"/>
          <w:jc w:val="center"/>
        </w:trPr>
        <w:tc>
          <w:tcPr>
            <w:tcW w:w="1321"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Органолептическая оценка</w:t>
            </w:r>
            <w:r w:rsidRPr="008A1091">
              <w:rPr>
                <w:rFonts w:ascii="Times New Roman" w:eastAsia="Times New Roman" w:hAnsi="Times New Roman" w:cs="Times New Roman"/>
                <w:sz w:val="24"/>
                <w:szCs w:val="24"/>
                <w:lang w:val="en-US" w:eastAsia="ru-RU"/>
              </w:rPr>
              <w:t xml:space="preserve">, </w:t>
            </w:r>
            <w:r w:rsidRPr="008A1091">
              <w:rPr>
                <w:rFonts w:ascii="Times New Roman" w:eastAsia="Times New Roman" w:hAnsi="Times New Roman" w:cs="Times New Roman"/>
                <w:sz w:val="24"/>
                <w:szCs w:val="24"/>
                <w:lang w:eastAsia="ru-RU"/>
              </w:rPr>
              <w:t>балл</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7,9±0,01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7,90±0,01</w:t>
            </w:r>
          </w:p>
        </w:tc>
        <w:tc>
          <w:tcPr>
            <w:tcW w:w="668" w:type="pct"/>
            <w:shd w:val="clear" w:color="auto" w:fill="auto"/>
            <w:tcMar>
              <w:top w:w="15" w:type="dxa"/>
              <w:left w:w="108" w:type="dxa"/>
              <w:bottom w:w="0" w:type="dxa"/>
              <w:right w:w="108" w:type="dxa"/>
            </w:tcMar>
            <w:vAlign w:val="center"/>
            <w:hideMark/>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7,85±0,01</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7,75±0,01</w:t>
            </w:r>
          </w:p>
        </w:tc>
        <w:tc>
          <w:tcPr>
            <w:tcW w:w="558"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7,60±0,01</w:t>
            </w:r>
          </w:p>
        </w:tc>
        <w:tc>
          <w:tcPr>
            <w:tcW w:w="559" w:type="pct"/>
            <w:vAlign w:val="center"/>
          </w:tcPr>
          <w:p w:rsidR="008A1091" w:rsidRPr="008A1091" w:rsidRDefault="008A1091" w:rsidP="008A1091">
            <w:pPr>
              <w:spacing w:after="0" w:line="240" w:lineRule="auto"/>
              <w:jc w:val="center"/>
              <w:rPr>
                <w:rFonts w:ascii="Times New Roman" w:eastAsia="Times New Roman" w:hAnsi="Times New Roman" w:cs="Times New Roman"/>
                <w:sz w:val="24"/>
                <w:szCs w:val="24"/>
                <w:lang w:val="en-US" w:eastAsia="ru-RU"/>
              </w:rPr>
            </w:pPr>
            <w:r w:rsidRPr="008A1091">
              <w:rPr>
                <w:rFonts w:ascii="Times New Roman" w:eastAsia="Times New Roman" w:hAnsi="Times New Roman" w:cs="Times New Roman"/>
                <w:sz w:val="24"/>
                <w:szCs w:val="24"/>
                <w:lang w:val="en-US" w:eastAsia="ru-RU"/>
              </w:rPr>
              <w:t>7,40±0,01</w:t>
            </w:r>
          </w:p>
        </w:tc>
      </w:tr>
    </w:tbl>
    <w:p w:rsidR="008A1091" w:rsidRPr="008A1091" w:rsidRDefault="008A1091" w:rsidP="008A1091">
      <w:pPr>
        <w:spacing w:before="240"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Следует отметить, что процесс удаления спирта из вин методом вакуумной перегонки сопровождается снижением содержания летучих кислот, которые варьируют в интервале от 0,42 г/дм³ до 0,33 г/дм³.</w:t>
      </w:r>
    </w:p>
    <w:p w:rsidR="008A1091" w:rsidRPr="008A1091" w:rsidRDefault="008A1091" w:rsidP="008A1091">
      <w:pPr>
        <w:spacing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Полученные результаты объясняются летучестью уксусной кислоты, которая удаляется в процессе деалкоолизации. Органолептическая оценка полученных образцов вин с пониженным содержанием спирта значительно снижается при удалении спирта и находится в пределах от 7,9 до 7,4 баллов. Следует отметить, что снижение спирта от 13,5% об. до 11,3% об. не оказывает отрицательного влияния на органолептические характеристики исследуемого вина.</w:t>
      </w:r>
    </w:p>
    <w:p w:rsidR="008A1091" w:rsidRPr="008A1091" w:rsidRDefault="008A1091" w:rsidP="008A1091">
      <w:pPr>
        <w:spacing w:after="24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Особую роль в качестве белых вин играет летучий комплекс, в связи с этим в работе было исследование влияние степени деалкоолизации белых вин на изменение летучего комплекса.</w:t>
      </w:r>
    </w:p>
    <w:p w:rsidR="008A1091" w:rsidRPr="008A1091" w:rsidRDefault="008A1091" w:rsidP="008A1091">
      <w:pPr>
        <w:spacing w:after="200" w:line="288" w:lineRule="auto"/>
        <w:ind w:firstLine="708"/>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noProof/>
          <w:sz w:val="30"/>
          <w:szCs w:val="30"/>
          <w:lang w:eastAsia="ru-RU"/>
        </w:rPr>
        <w:drawing>
          <wp:inline distT="0" distB="0" distL="0" distR="0">
            <wp:extent cx="5057775" cy="19812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Рис.1. Влияние степени деалкоолизации на удаление (%) высших спиртов</w:t>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 xml:space="preserve"> из белых сухих вин Шардоне</w:t>
      </w:r>
    </w:p>
    <w:p w:rsidR="008A1091" w:rsidRPr="008A1091" w:rsidRDefault="008A1091" w:rsidP="008A1091">
      <w:pPr>
        <w:spacing w:before="240"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 xml:space="preserve">Согласно данным, представленным на рисунке 1, наблюдается значительное снижение содержания высших спиртов в белых винах в зависимости от количества удаленного спирта. При содержании остаточного спирта 4,1 % об. наблюдаются самые высокие потери высших спиртов – 90,7 %, в то время наименьшие потери были определены при содержании спирта 11,3 об. и 10,1 % об. </w:t>
      </w:r>
    </w:p>
    <w:p w:rsidR="008A1091" w:rsidRPr="008A1091" w:rsidRDefault="008A1091" w:rsidP="008A1091">
      <w:pPr>
        <w:spacing w:after="24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lastRenderedPageBreak/>
        <w:t>На рисунке 2 представлены данные о влиянии степени деалкоолизации вин методом вакуумной перегонки на удаление ароматических эфиров из белых вин Шардоне. За счет низких температур кипения ароматических эфиров наблюдается их значительное удаление из вин, так при содержании остаточного спирта 4,1% об. доля удаленных эфиров составляет 99,9%, что отрицательно сказывается на органолептической оценке исследуемых образцов.</w:t>
      </w:r>
    </w:p>
    <w:p w:rsidR="008A1091" w:rsidRPr="008A1091" w:rsidRDefault="008A1091" w:rsidP="008A1091">
      <w:pPr>
        <w:spacing w:after="200" w:line="288" w:lineRule="auto"/>
        <w:jc w:val="center"/>
        <w:rPr>
          <w:rFonts w:ascii="Times New Roman" w:eastAsia="Times New Roman" w:hAnsi="Times New Roman" w:cs="Times New Roman"/>
          <w:b/>
          <w:sz w:val="30"/>
          <w:szCs w:val="30"/>
          <w:lang w:eastAsia="ru-RU"/>
        </w:rPr>
      </w:pPr>
      <w:r w:rsidRPr="008A1091">
        <w:rPr>
          <w:rFonts w:ascii="Times New Roman" w:eastAsia="Times New Roman" w:hAnsi="Times New Roman" w:cs="Times New Roman"/>
          <w:b/>
          <w:noProof/>
          <w:sz w:val="30"/>
          <w:szCs w:val="30"/>
          <w:lang w:eastAsia="ru-RU"/>
        </w:rPr>
        <w:drawing>
          <wp:inline distT="0" distB="0" distL="0" distR="0">
            <wp:extent cx="4600575" cy="211455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Рис.2. Влияние степени деалкоолизации на удаление (%) эфиров</w:t>
      </w:r>
    </w:p>
    <w:p w:rsidR="008A1091" w:rsidRPr="008A1091" w:rsidRDefault="008A1091" w:rsidP="008A1091">
      <w:pPr>
        <w:spacing w:after="24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 xml:space="preserve"> из белых сухих вин Шардоне</w:t>
      </w:r>
    </w:p>
    <w:p w:rsidR="008A1091" w:rsidRPr="008A1091" w:rsidRDefault="008A1091" w:rsidP="008A1091">
      <w:pPr>
        <w:spacing w:after="200" w:line="288" w:lineRule="auto"/>
        <w:jc w:val="center"/>
        <w:rPr>
          <w:rFonts w:ascii="Times New Roman" w:eastAsia="Times New Roman" w:hAnsi="Times New Roman" w:cs="Times New Roman"/>
          <w:b/>
          <w:sz w:val="30"/>
          <w:szCs w:val="30"/>
          <w:lang w:eastAsia="ru-RU"/>
        </w:rPr>
      </w:pPr>
      <w:r w:rsidRPr="008A1091">
        <w:rPr>
          <w:rFonts w:ascii="Times New Roman" w:eastAsia="Times New Roman" w:hAnsi="Times New Roman" w:cs="Times New Roman"/>
          <w:b/>
          <w:noProof/>
          <w:sz w:val="30"/>
          <w:szCs w:val="30"/>
          <w:lang w:eastAsia="ru-RU"/>
        </w:rPr>
        <w:drawing>
          <wp:inline distT="0" distB="0" distL="0" distR="0">
            <wp:extent cx="4619625" cy="20955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 xml:space="preserve">Рис.3. Влияние степени деалкоолизации на удаление (%) жирных кислот </w:t>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из белых сухих вин Шардоне</w:t>
      </w:r>
    </w:p>
    <w:p w:rsidR="008A1091" w:rsidRPr="008A1091" w:rsidRDefault="008A1091" w:rsidP="008A1091">
      <w:pPr>
        <w:spacing w:before="240"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В работе также изучено влияние степени деалкоолизации на потери жирных кислот в белых винах. В данном случае, незначительные потери жирных кислот в процессе деалкоолизации связаны с высокими температурами кипения жирных кислот. Потери жирных кислот при деалкоолизации варьируют в интервале от 7% до 31,1%.</w:t>
      </w:r>
    </w:p>
    <w:p w:rsidR="008A1091" w:rsidRPr="008A1091" w:rsidRDefault="008A1091" w:rsidP="008A1091">
      <w:pPr>
        <w:spacing w:after="24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 xml:space="preserve">Согласно данным, представленным на рисунке 4, потери альдегидов и кетонов варьируют от 12,9% до 70,8% в зависимости от количества удаленного спирта из исследуемых образцов белых вин Шардоне. Таким образом, снижение содержания остаточного спирта </w:t>
      </w:r>
      <w:r w:rsidRPr="008A1091">
        <w:rPr>
          <w:rFonts w:ascii="Times New Roman" w:eastAsia="Times New Roman" w:hAnsi="Times New Roman" w:cs="Times New Roman"/>
          <w:sz w:val="30"/>
          <w:szCs w:val="30"/>
          <w:lang w:eastAsia="ru-RU"/>
        </w:rPr>
        <w:lastRenderedPageBreak/>
        <w:t>4,1% об. приводит к значительному удалению альдегидов и кетонов из вин.</w:t>
      </w:r>
    </w:p>
    <w:p w:rsidR="008A1091" w:rsidRPr="008A1091" w:rsidRDefault="008A1091" w:rsidP="008A1091">
      <w:pPr>
        <w:spacing w:after="200" w:line="288" w:lineRule="auto"/>
        <w:jc w:val="center"/>
        <w:rPr>
          <w:rFonts w:ascii="Times New Roman" w:eastAsia="Times New Roman" w:hAnsi="Times New Roman" w:cs="Times New Roman"/>
          <w:b/>
          <w:sz w:val="30"/>
          <w:szCs w:val="30"/>
          <w:lang w:eastAsia="ru-RU"/>
        </w:rPr>
      </w:pPr>
      <w:r w:rsidRPr="008A1091">
        <w:rPr>
          <w:rFonts w:ascii="Times New Roman" w:eastAsia="Times New Roman" w:hAnsi="Times New Roman" w:cs="Times New Roman"/>
          <w:b/>
          <w:noProof/>
          <w:sz w:val="30"/>
          <w:szCs w:val="30"/>
          <w:lang w:eastAsia="ru-RU"/>
        </w:rPr>
        <w:drawing>
          <wp:inline distT="0" distB="0" distL="0" distR="0">
            <wp:extent cx="4772025" cy="246697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 xml:space="preserve">Рис.4. Влияние степени деалкоолизации на удаление (%) альдегидов и кетонов </w:t>
      </w:r>
    </w:p>
    <w:p w:rsidR="008A1091" w:rsidRPr="008A1091" w:rsidRDefault="008A1091" w:rsidP="008A1091">
      <w:pPr>
        <w:spacing w:after="0" w:line="240" w:lineRule="auto"/>
        <w:jc w:val="center"/>
        <w:rPr>
          <w:rFonts w:ascii="Times New Roman" w:eastAsia="Times New Roman" w:hAnsi="Times New Roman" w:cs="Times New Roman"/>
          <w:b/>
          <w:sz w:val="24"/>
          <w:szCs w:val="24"/>
          <w:lang w:eastAsia="ru-RU"/>
        </w:rPr>
      </w:pPr>
      <w:r w:rsidRPr="008A1091">
        <w:rPr>
          <w:rFonts w:ascii="Times New Roman" w:eastAsia="Times New Roman" w:hAnsi="Times New Roman" w:cs="Times New Roman"/>
          <w:b/>
          <w:sz w:val="24"/>
          <w:szCs w:val="24"/>
          <w:lang w:eastAsia="ru-RU"/>
        </w:rPr>
        <w:t>из белых сухих вин Шардоне</w:t>
      </w:r>
    </w:p>
    <w:p w:rsidR="008A1091" w:rsidRPr="008A1091" w:rsidRDefault="008A1091" w:rsidP="008A1091">
      <w:pPr>
        <w:spacing w:before="240"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b/>
          <w:sz w:val="30"/>
          <w:szCs w:val="30"/>
          <w:lang w:eastAsia="ru-RU"/>
        </w:rPr>
        <w:t xml:space="preserve">Выводы. </w:t>
      </w:r>
      <w:r w:rsidRPr="008A1091">
        <w:rPr>
          <w:rFonts w:ascii="Times New Roman" w:eastAsia="Times New Roman" w:hAnsi="Times New Roman" w:cs="Times New Roman"/>
          <w:sz w:val="30"/>
          <w:szCs w:val="30"/>
          <w:lang w:eastAsia="ru-RU"/>
        </w:rPr>
        <w:t>На основе полученных экспериментальных данных о влиянии степени деалкоолизации на летучий комплекс белых сухих вин можно сделать следующие выводы:</w:t>
      </w:r>
    </w:p>
    <w:p w:rsidR="008A1091" w:rsidRPr="008A1091" w:rsidRDefault="008A1091" w:rsidP="008A1091">
      <w:pPr>
        <w:spacing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 качество белых вин, полученных деалкоолизацией, зависит от количества удаленного спирта. При снижении содержания остаточного спирта 4,1% об. наблюдается значительное увеличение концентрации нелетучего комплекса белых вин, а также снижается их органолептическая оценка (от 7,9 до 7,4 баллов).</w:t>
      </w:r>
    </w:p>
    <w:p w:rsidR="008A1091" w:rsidRPr="008A1091" w:rsidRDefault="008A1091" w:rsidP="008A1091">
      <w:pPr>
        <w:spacing w:after="0" w:line="240" w:lineRule="auto"/>
        <w:ind w:firstLine="709"/>
        <w:jc w:val="both"/>
        <w:rPr>
          <w:rFonts w:ascii="Times New Roman" w:eastAsia="Times New Roman" w:hAnsi="Times New Roman" w:cs="Times New Roman"/>
          <w:sz w:val="30"/>
          <w:szCs w:val="30"/>
          <w:lang w:eastAsia="ru-RU"/>
        </w:rPr>
      </w:pPr>
      <w:r w:rsidRPr="008A1091">
        <w:rPr>
          <w:rFonts w:ascii="Times New Roman" w:eastAsia="Times New Roman" w:hAnsi="Times New Roman" w:cs="Times New Roman"/>
          <w:sz w:val="30"/>
          <w:szCs w:val="30"/>
          <w:lang w:eastAsia="ru-RU"/>
        </w:rPr>
        <w:t xml:space="preserve">– в процессе деалкоолизации наблюдается значительное снижение содержания летучих веществ в зависимости от количества удаленного спирта и температур кипения исследуемых веществ. Наибольшие потери наблюдаются в случае эфиров (до 99,9%) и высших спиртов (90,7%) при содержании остаточного спирта 4,1% об. </w:t>
      </w:r>
    </w:p>
    <w:p w:rsidR="008A1091" w:rsidRPr="008A1091" w:rsidRDefault="008A1091" w:rsidP="008A1091">
      <w:pPr>
        <w:spacing w:before="240" w:after="120" w:line="240" w:lineRule="auto"/>
        <w:jc w:val="center"/>
        <w:rPr>
          <w:rFonts w:ascii="Times New Roman" w:eastAsia="Times New Roman" w:hAnsi="Times New Roman" w:cs="Times New Roman"/>
          <w:sz w:val="24"/>
          <w:szCs w:val="24"/>
          <w:lang w:eastAsia="ru-RU"/>
        </w:rPr>
      </w:pPr>
      <w:r w:rsidRPr="008A1091">
        <w:rPr>
          <w:rFonts w:ascii="Times New Roman" w:eastAsia="Times New Roman" w:hAnsi="Times New Roman" w:cs="Times New Roman"/>
          <w:sz w:val="24"/>
          <w:szCs w:val="24"/>
          <w:lang w:eastAsia="ru-RU"/>
        </w:rPr>
        <w:t>Литература</w:t>
      </w:r>
    </w:p>
    <w:p w:rsidR="008A1091" w:rsidRPr="008A1091" w:rsidRDefault="008A1091" w:rsidP="008A1091">
      <w:pPr>
        <w:numPr>
          <w:ilvl w:val="0"/>
          <w:numId w:val="1"/>
        </w:numPr>
        <w:tabs>
          <w:tab w:val="left" w:pos="567"/>
          <w:tab w:val="left" w:pos="851"/>
        </w:tabs>
        <w:spacing w:after="0" w:line="240" w:lineRule="auto"/>
        <w:ind w:firstLine="567"/>
        <w:contextualSpacing/>
        <w:jc w:val="both"/>
        <w:rPr>
          <w:rFonts w:ascii="Times New Roman" w:eastAsia="Calibri" w:hAnsi="Times New Roman" w:cs="Times New Roman"/>
          <w:sz w:val="24"/>
          <w:szCs w:val="24"/>
          <w:lang w:val="en-US"/>
        </w:rPr>
      </w:pPr>
      <w:r w:rsidRPr="008A1091">
        <w:rPr>
          <w:rFonts w:ascii="Times New Roman" w:eastAsia="Calibri" w:hAnsi="Times New Roman" w:cs="Times New Roman"/>
          <w:sz w:val="24"/>
          <w:szCs w:val="24"/>
          <w:lang w:val="en-US"/>
        </w:rPr>
        <w:t>K. Wilkinson, V. Jiranck. Wine of reduced alcohol content: Consumer and society demand vs industry willingness and ability to deliver// 1</w:t>
      </w:r>
      <w:r w:rsidRPr="008A1091">
        <w:rPr>
          <w:rFonts w:ascii="Times New Roman" w:eastAsia="Calibri" w:hAnsi="Times New Roman" w:cs="Times New Roman"/>
          <w:sz w:val="24"/>
          <w:szCs w:val="24"/>
          <w:vertAlign w:val="superscript"/>
          <w:lang w:val="en-US"/>
        </w:rPr>
        <w:t>st</w:t>
      </w:r>
      <w:r w:rsidRPr="008A1091">
        <w:rPr>
          <w:rFonts w:ascii="Times New Roman" w:eastAsia="Calibri" w:hAnsi="Times New Roman" w:cs="Times New Roman"/>
          <w:sz w:val="24"/>
          <w:szCs w:val="24"/>
          <w:lang w:val="en-US"/>
        </w:rPr>
        <w:t xml:space="preserve"> International Symposium – Alcohol level reduction in wine-OENOVITI International Network.- France. -2013.- </w:t>
      </w:r>
      <w:r w:rsidRPr="008A1091">
        <w:rPr>
          <w:rFonts w:ascii="Times New Roman" w:eastAsia="Calibri" w:hAnsi="Times New Roman" w:cs="Times New Roman"/>
          <w:sz w:val="24"/>
          <w:szCs w:val="24"/>
        </w:rPr>
        <w:t>С</w:t>
      </w:r>
      <w:r w:rsidRPr="008A1091">
        <w:rPr>
          <w:rFonts w:ascii="Times New Roman" w:eastAsia="Calibri" w:hAnsi="Times New Roman" w:cs="Times New Roman"/>
          <w:sz w:val="24"/>
          <w:szCs w:val="24"/>
          <w:lang w:val="en-US"/>
        </w:rPr>
        <w:t>.</w:t>
      </w:r>
      <w:r w:rsidRPr="008A1091">
        <w:rPr>
          <w:rFonts w:ascii="Times New Roman" w:eastAsia="Calibri" w:hAnsi="Times New Roman" w:cs="Times New Roman"/>
          <w:sz w:val="24"/>
          <w:szCs w:val="24"/>
        </w:rPr>
        <w:t>98-104.</w:t>
      </w:r>
    </w:p>
    <w:p w:rsidR="008A1091" w:rsidRPr="008A1091" w:rsidRDefault="008A1091" w:rsidP="008A1091">
      <w:pPr>
        <w:numPr>
          <w:ilvl w:val="0"/>
          <w:numId w:val="1"/>
        </w:numPr>
        <w:tabs>
          <w:tab w:val="left" w:pos="567"/>
          <w:tab w:val="left" w:pos="851"/>
        </w:tabs>
        <w:spacing w:after="0" w:line="240" w:lineRule="auto"/>
        <w:ind w:firstLine="567"/>
        <w:contextualSpacing/>
        <w:jc w:val="both"/>
        <w:rPr>
          <w:rFonts w:ascii="Times New Roman" w:eastAsia="Calibri" w:hAnsi="Times New Roman" w:cs="Times New Roman"/>
          <w:sz w:val="24"/>
          <w:szCs w:val="24"/>
          <w:lang w:val="en-US"/>
        </w:rPr>
      </w:pPr>
      <w:r w:rsidRPr="008A1091">
        <w:rPr>
          <w:rFonts w:ascii="Times New Roman" w:eastAsia="Calibri" w:hAnsi="Times New Roman" w:cs="Times New Roman"/>
          <w:sz w:val="24"/>
          <w:szCs w:val="24"/>
          <w:lang w:val="en-US"/>
        </w:rPr>
        <w:t>S. Meillon. Preference and acceptability of partial dealcoholized white and red wines by consumers and professionals // Am.J.Enol.Vitic.--2010. -№ 61:1.-</w:t>
      </w:r>
      <w:r w:rsidRPr="008A1091">
        <w:rPr>
          <w:rFonts w:ascii="Times New Roman" w:eastAsia="Calibri" w:hAnsi="Times New Roman" w:cs="Times New Roman"/>
          <w:sz w:val="24"/>
          <w:szCs w:val="24"/>
        </w:rPr>
        <w:t>Р</w:t>
      </w:r>
      <w:r w:rsidRPr="008A1091">
        <w:rPr>
          <w:rFonts w:ascii="Times New Roman" w:eastAsia="Calibri" w:hAnsi="Times New Roman" w:cs="Times New Roman"/>
          <w:sz w:val="24"/>
          <w:szCs w:val="24"/>
          <w:lang w:val="en-US"/>
        </w:rPr>
        <w:t>.763-773.</w:t>
      </w:r>
    </w:p>
    <w:p w:rsidR="008A1091" w:rsidRPr="008A1091" w:rsidRDefault="008A1091" w:rsidP="008A1091">
      <w:pPr>
        <w:numPr>
          <w:ilvl w:val="0"/>
          <w:numId w:val="1"/>
        </w:numPr>
        <w:tabs>
          <w:tab w:val="left" w:pos="567"/>
          <w:tab w:val="left" w:pos="851"/>
        </w:tabs>
        <w:spacing w:after="0" w:line="240" w:lineRule="auto"/>
        <w:ind w:firstLine="567"/>
        <w:contextualSpacing/>
        <w:jc w:val="both"/>
        <w:rPr>
          <w:rFonts w:ascii="Times New Roman" w:eastAsia="Calibri" w:hAnsi="Times New Roman" w:cs="Times New Roman"/>
          <w:sz w:val="24"/>
          <w:szCs w:val="24"/>
          <w:lang w:val="en-US"/>
        </w:rPr>
      </w:pPr>
      <w:r w:rsidRPr="008A1091">
        <w:rPr>
          <w:rFonts w:ascii="Times New Roman" w:eastAsia="Calibri" w:hAnsi="Times New Roman" w:cs="Times New Roman"/>
          <w:sz w:val="24"/>
          <w:szCs w:val="24"/>
          <w:lang w:val="en-US"/>
        </w:rPr>
        <w:t>A. J. Saliba et al. Consumer demand for low-alcohol wine in an Australian sample// International Journal of Wine Research. - 2013- №5. –</w:t>
      </w:r>
      <w:r w:rsidRPr="008A1091">
        <w:rPr>
          <w:rFonts w:ascii="Times New Roman" w:eastAsia="Calibri" w:hAnsi="Times New Roman" w:cs="Times New Roman"/>
          <w:sz w:val="24"/>
          <w:szCs w:val="24"/>
        </w:rPr>
        <w:t>Р</w:t>
      </w:r>
      <w:r w:rsidRPr="008A1091">
        <w:rPr>
          <w:rFonts w:ascii="Times New Roman" w:eastAsia="Calibri" w:hAnsi="Times New Roman" w:cs="Times New Roman"/>
          <w:sz w:val="24"/>
          <w:szCs w:val="24"/>
          <w:lang w:val="en-US"/>
        </w:rPr>
        <w:t>. 1-8.</w:t>
      </w:r>
    </w:p>
    <w:p w:rsidR="008A1091" w:rsidRPr="008A1091" w:rsidRDefault="008A1091" w:rsidP="008A1091">
      <w:pPr>
        <w:numPr>
          <w:ilvl w:val="0"/>
          <w:numId w:val="1"/>
        </w:numPr>
        <w:tabs>
          <w:tab w:val="left" w:pos="567"/>
          <w:tab w:val="left" w:pos="851"/>
        </w:tabs>
        <w:spacing w:after="0" w:line="240" w:lineRule="auto"/>
        <w:ind w:firstLine="567"/>
        <w:contextualSpacing/>
        <w:jc w:val="both"/>
        <w:rPr>
          <w:rFonts w:ascii="Times New Roman" w:eastAsia="Calibri" w:hAnsi="Times New Roman" w:cs="Times New Roman"/>
          <w:sz w:val="24"/>
          <w:szCs w:val="24"/>
          <w:lang w:val="en-US"/>
        </w:rPr>
      </w:pPr>
      <w:r w:rsidRPr="008A1091">
        <w:rPr>
          <w:rFonts w:ascii="Times New Roman" w:eastAsia="Calibri" w:hAnsi="Times New Roman" w:cs="Times New Roman"/>
          <w:sz w:val="24"/>
          <w:szCs w:val="24"/>
          <w:lang w:val="en-US"/>
        </w:rPr>
        <w:t xml:space="preserve">Resolution OIV-OENO 394A-2012 </w:t>
      </w:r>
    </w:p>
    <w:p w:rsidR="008A1091" w:rsidRPr="008A1091" w:rsidRDefault="008A1091" w:rsidP="008A1091">
      <w:pPr>
        <w:numPr>
          <w:ilvl w:val="0"/>
          <w:numId w:val="1"/>
        </w:numPr>
        <w:tabs>
          <w:tab w:val="left" w:pos="567"/>
          <w:tab w:val="left" w:pos="851"/>
        </w:tabs>
        <w:spacing w:after="0" w:line="240" w:lineRule="auto"/>
        <w:ind w:firstLine="567"/>
        <w:contextualSpacing/>
        <w:jc w:val="both"/>
        <w:rPr>
          <w:rFonts w:ascii="Times New Roman" w:eastAsia="Calibri" w:hAnsi="Times New Roman" w:cs="Times New Roman"/>
          <w:sz w:val="24"/>
          <w:szCs w:val="24"/>
          <w:lang w:val="en-US"/>
        </w:rPr>
      </w:pPr>
      <w:r w:rsidRPr="008A1091">
        <w:rPr>
          <w:rFonts w:ascii="Times New Roman" w:eastAsia="Calibri" w:hAnsi="Times New Roman" w:cs="Times New Roman"/>
          <w:sz w:val="24"/>
          <w:szCs w:val="24"/>
          <w:lang w:val="en-US"/>
        </w:rPr>
        <w:t>Resolution OIV-OENO 394B -2012</w:t>
      </w:r>
    </w:p>
    <w:p w:rsidR="00DB6B6E" w:rsidRPr="00874F5B" w:rsidRDefault="00DB6B6E">
      <w:bookmarkStart w:id="0" w:name="_GoBack"/>
      <w:bookmarkEnd w:id="0"/>
    </w:p>
    <w:sectPr w:rsidR="00DB6B6E" w:rsidRPr="00874F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34" w:rsidRDefault="00EF5234" w:rsidP="00337733">
      <w:pPr>
        <w:spacing w:after="0" w:line="240" w:lineRule="auto"/>
      </w:pPr>
      <w:r>
        <w:separator/>
      </w:r>
    </w:p>
  </w:endnote>
  <w:endnote w:type="continuationSeparator" w:id="0">
    <w:p w:rsidR="00EF5234" w:rsidRDefault="00EF5234" w:rsidP="0033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34" w:rsidRDefault="00EF5234" w:rsidP="00337733">
      <w:pPr>
        <w:spacing w:after="0" w:line="240" w:lineRule="auto"/>
      </w:pPr>
      <w:r>
        <w:separator/>
      </w:r>
    </w:p>
  </w:footnote>
  <w:footnote w:type="continuationSeparator" w:id="0">
    <w:p w:rsidR="00EF5234" w:rsidRDefault="00EF5234" w:rsidP="00337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D6008"/>
    <w:multiLevelType w:val="hybridMultilevel"/>
    <w:tmpl w:val="1E2AB1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3158CF"/>
    <w:rsid w:val="00337733"/>
    <w:rsid w:val="0043511E"/>
    <w:rsid w:val="004A61F9"/>
    <w:rsid w:val="005B38A7"/>
    <w:rsid w:val="007461AA"/>
    <w:rsid w:val="00782C16"/>
    <w:rsid w:val="007B0AE0"/>
    <w:rsid w:val="007F4C5B"/>
    <w:rsid w:val="00841797"/>
    <w:rsid w:val="00874F5B"/>
    <w:rsid w:val="00883F47"/>
    <w:rsid w:val="008A1091"/>
    <w:rsid w:val="00B33299"/>
    <w:rsid w:val="00DB6B6E"/>
    <w:rsid w:val="00EF5234"/>
    <w:rsid w:val="00FB1DC6"/>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eicova_svetlan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leicova_svetlana@mail.ru"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12336953718071"/>
          <c:y val="5.3473165574084845E-2"/>
          <c:w val="0.69572934813233467"/>
          <c:h val="0.73130608440145417"/>
        </c:manualLayout>
      </c:layout>
      <c:barChart>
        <c:barDir val="col"/>
        <c:grouping val="stacked"/>
        <c:varyColors val="0"/>
        <c:ser>
          <c:idx val="0"/>
          <c:order val="0"/>
          <c:tx>
            <c:strRef>
              <c:f>Лист1!$B$1</c:f>
              <c:strCache>
                <c:ptCount val="1"/>
                <c:pt idx="0">
                  <c:v>Высшие спирты</c:v>
                </c:pt>
              </c:strCache>
            </c:strRef>
          </c:tx>
          <c:invertIfNegative val="0"/>
          <c:dLbls>
            <c:spPr>
              <a:noFill/>
              <a:ln w="25398">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11.3</c:v>
                </c:pt>
                <c:pt idx="1">
                  <c:v>10.1</c:v>
                </c:pt>
                <c:pt idx="2">
                  <c:v>8.3000000000000007</c:v>
                </c:pt>
                <c:pt idx="3">
                  <c:v>7.9</c:v>
                </c:pt>
                <c:pt idx="4">
                  <c:v>4.0999999999999996</c:v>
                </c:pt>
              </c:numCache>
            </c:numRef>
          </c:cat>
          <c:val>
            <c:numRef>
              <c:f>Лист1!$B$2:$B$6</c:f>
              <c:numCache>
                <c:formatCode>General</c:formatCode>
                <c:ptCount val="5"/>
                <c:pt idx="0">
                  <c:v>8.1999999999999993</c:v>
                </c:pt>
                <c:pt idx="1">
                  <c:v>13.5</c:v>
                </c:pt>
                <c:pt idx="2">
                  <c:v>56.5</c:v>
                </c:pt>
                <c:pt idx="3">
                  <c:v>63.1</c:v>
                </c:pt>
                <c:pt idx="4">
                  <c:v>90.7</c:v>
                </c:pt>
              </c:numCache>
            </c:numRef>
          </c:val>
        </c:ser>
        <c:ser>
          <c:idx val="1"/>
          <c:order val="1"/>
          <c:tx>
            <c:strRef>
              <c:f>Лист1!$C$1</c:f>
              <c:strCache>
                <c:ptCount val="1"/>
              </c:strCache>
            </c:strRef>
          </c:tx>
          <c:invertIfNegative val="0"/>
          <c:cat>
            <c:numRef>
              <c:f>Лист1!$A$2:$A$6</c:f>
              <c:numCache>
                <c:formatCode>General</c:formatCode>
                <c:ptCount val="5"/>
                <c:pt idx="0">
                  <c:v>11.3</c:v>
                </c:pt>
                <c:pt idx="1">
                  <c:v>10.1</c:v>
                </c:pt>
                <c:pt idx="2">
                  <c:v>8.3000000000000007</c:v>
                </c:pt>
                <c:pt idx="3">
                  <c:v>7.9</c:v>
                </c:pt>
                <c:pt idx="4">
                  <c:v>4.0999999999999996</c:v>
                </c:pt>
              </c:numCache>
            </c:numRef>
          </c:cat>
          <c:val>
            <c:numRef>
              <c:f>Лист1!$C$2:$C$7</c:f>
              <c:numCache>
                <c:formatCode>General</c:formatCode>
                <c:ptCount val="6"/>
              </c:numCache>
            </c:numRef>
          </c:val>
        </c:ser>
        <c:ser>
          <c:idx val="2"/>
          <c:order val="2"/>
          <c:tx>
            <c:strRef>
              <c:f>Лист1!$D$1</c:f>
              <c:strCache>
                <c:ptCount val="1"/>
              </c:strCache>
            </c:strRef>
          </c:tx>
          <c:invertIfNegative val="0"/>
          <c:cat>
            <c:numRef>
              <c:f>Лист1!$A$2:$A$6</c:f>
              <c:numCache>
                <c:formatCode>General</c:formatCode>
                <c:ptCount val="5"/>
                <c:pt idx="0">
                  <c:v>11.3</c:v>
                </c:pt>
                <c:pt idx="1">
                  <c:v>10.1</c:v>
                </c:pt>
                <c:pt idx="2">
                  <c:v>8.3000000000000007</c:v>
                </c:pt>
                <c:pt idx="3">
                  <c:v>7.9</c:v>
                </c:pt>
                <c:pt idx="4">
                  <c:v>4.0999999999999996</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overlap val="100"/>
        <c:axId val="1650214992"/>
        <c:axId val="1650213360"/>
      </c:barChart>
      <c:catAx>
        <c:axId val="165021499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ru-RU"/>
                  <a:t>Содержание спирта, %об.</a:t>
                </a:r>
              </a:p>
            </c:rich>
          </c:tx>
          <c:overlay val="0"/>
        </c:title>
        <c:numFmt formatCode="General" sourceLinked="1"/>
        <c:majorTickMark val="out"/>
        <c:minorTickMark val="none"/>
        <c:tickLblPos val="nextTo"/>
        <c:crossAx val="1650213360"/>
        <c:crosses val="autoZero"/>
        <c:auto val="1"/>
        <c:lblAlgn val="ctr"/>
        <c:lblOffset val="100"/>
        <c:noMultiLvlLbl val="0"/>
      </c:catAx>
      <c:valAx>
        <c:axId val="1650213360"/>
        <c:scaling>
          <c:orientation val="minMax"/>
        </c:scaling>
        <c:delete val="0"/>
        <c:axPos val="l"/>
        <c:majorGridlines>
          <c:spPr>
            <a:ln>
              <a:solidFill>
                <a:schemeClr val="accent1"/>
              </a:solidFill>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Потери высших спиртов, %</a:t>
                </a:r>
              </a:p>
            </c:rich>
          </c:tx>
          <c:overlay val="0"/>
        </c:title>
        <c:numFmt formatCode="General" sourceLinked="1"/>
        <c:majorTickMark val="out"/>
        <c:minorTickMark val="none"/>
        <c:tickLblPos val="nextTo"/>
        <c:crossAx val="1650214992"/>
        <c:crosses val="autoZero"/>
        <c:crossBetween val="between"/>
        <c:majorUnit val="20"/>
      </c:valAx>
    </c:plotArea>
    <c:legend>
      <c:legendPos val="r"/>
      <c:legendEntry>
        <c:idx val="0"/>
        <c:delete val="1"/>
      </c:legendEntry>
      <c:legendEntry>
        <c:idx val="1"/>
        <c:delete val="1"/>
      </c:legendEntry>
      <c:layout>
        <c:manualLayout>
          <c:xMode val="edge"/>
          <c:yMode val="edge"/>
          <c:x val="0.73988499992414247"/>
          <c:y val="8.0781509454175365E-2"/>
          <c:w val="0.21440039648223164"/>
          <c:h val="0.1274385344689056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Эфиры</c:v>
                </c:pt>
              </c:strCache>
            </c:strRef>
          </c:tx>
          <c:invertIfNegative val="0"/>
          <c:dLbls>
            <c:spPr>
              <a:noFill/>
              <a:ln w="25389">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11.3</c:v>
                </c:pt>
                <c:pt idx="1">
                  <c:v>10.1</c:v>
                </c:pt>
                <c:pt idx="2">
                  <c:v>8.3000000000000007</c:v>
                </c:pt>
                <c:pt idx="3">
                  <c:v>7.9</c:v>
                </c:pt>
                <c:pt idx="4">
                  <c:v>4.0999999999999996</c:v>
                </c:pt>
              </c:numCache>
            </c:numRef>
          </c:cat>
          <c:val>
            <c:numRef>
              <c:f>Лист1!$B$2:$B$6</c:f>
              <c:numCache>
                <c:formatCode>General</c:formatCode>
                <c:ptCount val="5"/>
                <c:pt idx="0">
                  <c:v>22.3</c:v>
                </c:pt>
                <c:pt idx="1">
                  <c:v>33.5</c:v>
                </c:pt>
                <c:pt idx="2">
                  <c:v>71.8</c:v>
                </c:pt>
                <c:pt idx="3">
                  <c:v>85</c:v>
                </c:pt>
                <c:pt idx="4">
                  <c:v>99.9</c:v>
                </c:pt>
              </c:numCache>
            </c:numRef>
          </c:val>
        </c:ser>
        <c:dLbls>
          <c:showLegendKey val="0"/>
          <c:showVal val="0"/>
          <c:showCatName val="0"/>
          <c:showSerName val="0"/>
          <c:showPercent val="0"/>
          <c:showBubbleSize val="0"/>
        </c:dLbls>
        <c:gapWidth val="150"/>
        <c:axId val="1650214448"/>
        <c:axId val="1650217712"/>
      </c:barChart>
      <c:catAx>
        <c:axId val="1650214448"/>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ru-RU"/>
                  <a:t>Содержание спирта, % об.</a:t>
                </a:r>
              </a:p>
            </c:rich>
          </c:tx>
          <c:overlay val="0"/>
        </c:title>
        <c:numFmt formatCode="General" sourceLinked="1"/>
        <c:majorTickMark val="out"/>
        <c:minorTickMark val="none"/>
        <c:tickLblPos val="nextTo"/>
        <c:crossAx val="1650217712"/>
        <c:crosses val="autoZero"/>
        <c:auto val="1"/>
        <c:lblAlgn val="ctr"/>
        <c:lblOffset val="100"/>
        <c:noMultiLvlLbl val="0"/>
      </c:catAx>
      <c:valAx>
        <c:axId val="1650217712"/>
        <c:scaling>
          <c:orientation val="minMax"/>
          <c:max val="100"/>
        </c:scaling>
        <c:delete val="0"/>
        <c:axPos val="l"/>
        <c:majorGridlines/>
        <c:title>
          <c:tx>
            <c:rich>
              <a:bodyPr/>
              <a:lstStyle/>
              <a:p>
                <a:pPr>
                  <a:defRPr sz="1000" b="1" i="0" u="none" strike="noStrike" baseline="0">
                    <a:solidFill>
                      <a:srgbClr val="000000"/>
                    </a:solidFill>
                    <a:latin typeface="Times New Roman"/>
                    <a:ea typeface="Times New Roman"/>
                    <a:cs typeface="Times New Roman"/>
                  </a:defRPr>
                </a:pPr>
                <a:r>
                  <a:rPr lang="ru-RU"/>
                  <a:t>Потери эфиров, %</a:t>
                </a:r>
              </a:p>
            </c:rich>
          </c:tx>
          <c:overlay val="0"/>
        </c:title>
        <c:numFmt formatCode="General" sourceLinked="1"/>
        <c:majorTickMark val="out"/>
        <c:minorTickMark val="none"/>
        <c:tickLblPos val="nextTo"/>
        <c:crossAx val="1650214448"/>
        <c:crosses val="autoZero"/>
        <c:crossBetween val="between"/>
        <c:majorUnit val="20"/>
      </c:valAx>
    </c:plotArea>
    <c:legend>
      <c:legendPos val="r"/>
      <c:layout>
        <c:manualLayout>
          <c:xMode val="edge"/>
          <c:yMode val="edge"/>
          <c:x val="0.85111501189739824"/>
          <c:y val="9.0930079237725614E-2"/>
          <c:w val="0.12775409443246344"/>
          <c:h val="0.102337326317622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24276945322145"/>
          <c:y val="8.5317435563263266E-2"/>
          <c:w val="0.68689694754660191"/>
          <c:h val="0.6162543630415237"/>
        </c:manualLayout>
      </c:layout>
      <c:barChart>
        <c:barDir val="col"/>
        <c:grouping val="clustered"/>
        <c:varyColors val="0"/>
        <c:ser>
          <c:idx val="0"/>
          <c:order val="0"/>
          <c:tx>
            <c:strRef>
              <c:f>Лист1!$B$1</c:f>
              <c:strCache>
                <c:ptCount val="1"/>
                <c:pt idx="0">
                  <c:v>Жирные кислоты</c:v>
                </c:pt>
              </c:strCache>
            </c:strRef>
          </c:tx>
          <c:invertIfNegative val="0"/>
          <c:dLbls>
            <c:spPr>
              <a:noFill/>
              <a:ln w="25379">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11.3</c:v>
                </c:pt>
                <c:pt idx="1">
                  <c:v>10.1</c:v>
                </c:pt>
                <c:pt idx="2">
                  <c:v>8.3000000000000007</c:v>
                </c:pt>
                <c:pt idx="3">
                  <c:v>7.9</c:v>
                </c:pt>
                <c:pt idx="4">
                  <c:v>4.0999999999999996</c:v>
                </c:pt>
              </c:numCache>
            </c:numRef>
          </c:cat>
          <c:val>
            <c:numRef>
              <c:f>Лист1!$B$2:$B$6</c:f>
              <c:numCache>
                <c:formatCode>General</c:formatCode>
                <c:ptCount val="5"/>
                <c:pt idx="0">
                  <c:v>7</c:v>
                </c:pt>
                <c:pt idx="1">
                  <c:v>8.1</c:v>
                </c:pt>
                <c:pt idx="2">
                  <c:v>16.2</c:v>
                </c:pt>
                <c:pt idx="3">
                  <c:v>17.600000000000001</c:v>
                </c:pt>
                <c:pt idx="4">
                  <c:v>31.1</c:v>
                </c:pt>
              </c:numCache>
            </c:numRef>
          </c:val>
        </c:ser>
        <c:dLbls>
          <c:showLegendKey val="0"/>
          <c:showVal val="0"/>
          <c:showCatName val="0"/>
          <c:showSerName val="0"/>
          <c:showPercent val="0"/>
          <c:showBubbleSize val="0"/>
        </c:dLbls>
        <c:gapWidth val="150"/>
        <c:axId val="1650219344"/>
        <c:axId val="1650212272"/>
      </c:barChart>
      <c:catAx>
        <c:axId val="1650219344"/>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ru-RU"/>
                  <a:t>Содержание спирта,% об.</a:t>
                </a:r>
              </a:p>
            </c:rich>
          </c:tx>
          <c:overlay val="0"/>
        </c:title>
        <c:numFmt formatCode="General" sourceLinked="1"/>
        <c:majorTickMark val="out"/>
        <c:minorTickMark val="none"/>
        <c:tickLblPos val="nextTo"/>
        <c:crossAx val="1650212272"/>
        <c:crosses val="autoZero"/>
        <c:auto val="1"/>
        <c:lblAlgn val="ctr"/>
        <c:lblOffset val="100"/>
        <c:noMultiLvlLbl val="0"/>
      </c:catAx>
      <c:valAx>
        <c:axId val="1650212272"/>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ru-RU"/>
                  <a:t>Потери жирных кислот, %</a:t>
                </a:r>
              </a:p>
            </c:rich>
          </c:tx>
          <c:overlay val="0"/>
        </c:title>
        <c:numFmt formatCode="General" sourceLinked="1"/>
        <c:majorTickMark val="out"/>
        <c:minorTickMark val="none"/>
        <c:tickLblPos val="nextTo"/>
        <c:crossAx val="1650219344"/>
        <c:crosses val="autoZero"/>
        <c:crossBetween val="between"/>
      </c:valAx>
    </c:plotArea>
    <c:legend>
      <c:legendPos val="r"/>
      <c:layout>
        <c:manualLayout>
          <c:xMode val="edge"/>
          <c:yMode val="edge"/>
          <c:x val="0.75138597104537397"/>
          <c:y val="4.6058596742392845E-3"/>
          <c:w val="0.24835122882366978"/>
          <c:h val="0.1033814313880621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04809438301993"/>
          <c:y val="5.6907730856170326E-2"/>
          <c:w val="0.73378989790977756"/>
          <c:h val="0.67422910799881874"/>
        </c:manualLayout>
      </c:layout>
      <c:barChart>
        <c:barDir val="col"/>
        <c:grouping val="clustered"/>
        <c:varyColors val="0"/>
        <c:ser>
          <c:idx val="0"/>
          <c:order val="0"/>
          <c:tx>
            <c:strRef>
              <c:f>Лист1!$B$1</c:f>
              <c:strCache>
                <c:ptCount val="1"/>
                <c:pt idx="0">
                  <c:v>Альдегиды, кетоны</c:v>
                </c:pt>
              </c:strCache>
            </c:strRef>
          </c:tx>
          <c:invertIfNegative val="0"/>
          <c:dLbls>
            <c:spPr>
              <a:noFill/>
              <a:ln w="25378">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11.3</c:v>
                </c:pt>
                <c:pt idx="1">
                  <c:v>10.1</c:v>
                </c:pt>
                <c:pt idx="2">
                  <c:v>8.3000000000000007</c:v>
                </c:pt>
                <c:pt idx="3">
                  <c:v>7.9</c:v>
                </c:pt>
                <c:pt idx="4">
                  <c:v>4.0999999999999996</c:v>
                </c:pt>
              </c:numCache>
            </c:numRef>
          </c:cat>
          <c:val>
            <c:numRef>
              <c:f>Лист1!$B$2:$B$6</c:f>
              <c:numCache>
                <c:formatCode>General</c:formatCode>
                <c:ptCount val="5"/>
                <c:pt idx="0">
                  <c:v>12.9</c:v>
                </c:pt>
                <c:pt idx="1">
                  <c:v>16.600000000000001</c:v>
                </c:pt>
                <c:pt idx="2">
                  <c:v>63.5</c:v>
                </c:pt>
                <c:pt idx="3">
                  <c:v>66.5</c:v>
                </c:pt>
                <c:pt idx="4">
                  <c:v>70.8</c:v>
                </c:pt>
              </c:numCache>
            </c:numRef>
          </c:val>
        </c:ser>
        <c:dLbls>
          <c:showLegendKey val="0"/>
          <c:showVal val="0"/>
          <c:showCatName val="0"/>
          <c:showSerName val="0"/>
          <c:showPercent val="0"/>
          <c:showBubbleSize val="0"/>
        </c:dLbls>
        <c:gapWidth val="150"/>
        <c:axId val="1643767680"/>
        <c:axId val="1643768224"/>
      </c:barChart>
      <c:catAx>
        <c:axId val="1643767680"/>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ru-RU"/>
                  <a:t>Содержание спирта, % об.</a:t>
                </a:r>
              </a:p>
            </c:rich>
          </c:tx>
          <c:overlay val="0"/>
        </c:title>
        <c:numFmt formatCode="General" sourceLinked="1"/>
        <c:majorTickMark val="out"/>
        <c:minorTickMark val="none"/>
        <c:tickLblPos val="nextTo"/>
        <c:crossAx val="1643768224"/>
        <c:crosses val="autoZero"/>
        <c:auto val="1"/>
        <c:lblAlgn val="ctr"/>
        <c:lblOffset val="100"/>
        <c:noMultiLvlLbl val="0"/>
      </c:catAx>
      <c:valAx>
        <c:axId val="164376822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ru-RU"/>
                  <a:t>Потери альдегидов,кетонов, %</a:t>
                </a:r>
              </a:p>
            </c:rich>
          </c:tx>
          <c:overlay val="0"/>
        </c:title>
        <c:numFmt formatCode="General" sourceLinked="1"/>
        <c:majorTickMark val="out"/>
        <c:minorTickMark val="none"/>
        <c:tickLblPos val="nextTo"/>
        <c:crossAx val="1643767680"/>
        <c:crosses val="autoZero"/>
        <c:crossBetween val="between"/>
      </c:valAx>
    </c:plotArea>
    <c:legend>
      <c:legendPos val="r"/>
      <c:layout>
        <c:manualLayout>
          <c:xMode val="edge"/>
          <c:yMode val="edge"/>
          <c:x val="0.71503669184209118"/>
          <c:y val="3.9327321987977309E-2"/>
          <c:w val="0.26495559483635978"/>
          <c:h val="8.7763102192871062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2016-12-22T08:32:00Z</dcterms:created>
  <dcterms:modified xsi:type="dcterms:W3CDTF">2016-12-22T08:32:00Z</dcterms:modified>
</cp:coreProperties>
</file>